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2.0.0 -->
  <w:body>
    <w:p w:rsidR="002C1C18" w:rsidP="00C2208C">
      <w:pPr>
        <w:jc w:val="center"/>
        <w:rPr>
          <w:b/>
          <w:sz w:val="24"/>
          <w:u w:val="single"/>
        </w:rPr>
      </w:pPr>
      <w:bookmarkStart w:id="0" w:name="_GoBack"/>
      <w:bookmarkEnd w:id="0"/>
      <w:r>
        <w:rPr>
          <w:b/>
          <w:sz w:val="24"/>
          <w:u w:val="single"/>
        </w:rPr>
        <w:t xml:space="preserve">DRAFT </w:t>
      </w:r>
      <w:r w:rsidRPr="00C2208C">
        <w:rPr>
          <w:b/>
          <w:sz w:val="24"/>
          <w:u w:val="single"/>
        </w:rPr>
        <w:t>Lancashire County Council Suicide Prevention Strategy</w:t>
      </w:r>
    </w:p>
    <w:p w:rsidR="00684E6A" w:rsidRPr="00C2208C" w:rsidP="00C2208C">
      <w:pPr>
        <w:jc w:val="center"/>
        <w:rPr>
          <w:b/>
          <w:sz w:val="24"/>
          <w:u w:val="single"/>
        </w:rPr>
      </w:pPr>
    </w:p>
    <w:p w:rsidR="00C2208C" w:rsidP="00C2208C">
      <w:pPr>
        <w:rPr>
          <w:b/>
          <w:sz w:val="24"/>
          <w:u w:val="single"/>
        </w:rPr>
      </w:pPr>
      <w:r w:rsidRPr="003E2086">
        <w:rPr>
          <w:b/>
          <w:sz w:val="24"/>
          <w:u w:val="single"/>
        </w:rPr>
        <w:t>Executive summary</w:t>
      </w:r>
    </w:p>
    <w:p w:rsidR="00DD7859" w:rsidRPr="00DD7859" w:rsidP="00C2208C">
      <w:pPr>
        <w:rPr>
          <w:sz w:val="24"/>
        </w:rPr>
      </w:pPr>
      <w:r w:rsidRPr="00DD7859">
        <w:rPr>
          <w:sz w:val="24"/>
          <w:highlight w:val="yellow"/>
        </w:rPr>
        <w:t>Insert summary</w:t>
      </w:r>
    </w:p>
    <w:p w:rsidR="00DD7859" w:rsidP="00C2208C">
      <w:pPr>
        <w:rPr>
          <w:b/>
          <w:sz w:val="24"/>
          <w:u w:val="single"/>
        </w:rPr>
      </w:pPr>
    </w:p>
    <w:p w:rsidR="00C2208C" w:rsidRPr="003E2086" w:rsidP="00C2208C">
      <w:pPr>
        <w:rPr>
          <w:b/>
          <w:sz w:val="24"/>
          <w:u w:val="single"/>
        </w:rPr>
      </w:pPr>
      <w:r w:rsidRPr="003E2086">
        <w:rPr>
          <w:b/>
          <w:sz w:val="24"/>
          <w:u w:val="single"/>
        </w:rPr>
        <w:t>Background</w:t>
      </w:r>
    </w:p>
    <w:p w:rsidR="004C26EF" w:rsidRPr="00684E6A" w:rsidP="00C2208C">
      <w:pPr>
        <w:rPr>
          <w:rFonts w:cs="Arial"/>
          <w:sz w:val="24"/>
        </w:rPr>
      </w:pPr>
      <w:r w:rsidRPr="00C2208C">
        <w:rPr>
          <w:rFonts w:cs="Arial"/>
          <w:sz w:val="24"/>
        </w:rPr>
        <w:t>Suicide is the act of intentionally ending your life</w:t>
      </w:r>
      <w:r w:rsidRPr="00C2208C">
        <w:rPr>
          <w:rFonts w:cs="Arial"/>
          <w:sz w:val="24"/>
        </w:rPr>
        <w:fldChar w:fldCharType="begin"/>
      </w:r>
      <w:r w:rsidRPr="00C2208C">
        <w:rPr>
          <w:rFonts w:cs="Arial"/>
          <w:sz w:val="24"/>
        </w:rPr>
        <w:instrText>ADDIN RW.CITE{{775 NHS Choices 9 February 2015}}</w:instrText>
      </w:r>
      <w:r w:rsidRPr="00C2208C">
        <w:rPr>
          <w:rFonts w:cs="Arial"/>
          <w:sz w:val="24"/>
        </w:rPr>
        <w:fldChar w:fldCharType="separate"/>
      </w:r>
      <w:r w:rsidRPr="00C2208C">
        <w:rPr>
          <w:rFonts w:eastAsia="Times New Roman" w:cs="Arial"/>
          <w:sz w:val="24"/>
        </w:rPr>
        <w:t>(1)</w:t>
      </w:r>
      <w:r w:rsidRPr="00C2208C">
        <w:rPr>
          <w:rFonts w:cs="Arial"/>
          <w:sz w:val="24"/>
        </w:rPr>
        <w:fldChar w:fldCharType="end"/>
      </w:r>
      <w:r w:rsidRPr="00C2208C">
        <w:rPr>
          <w:rFonts w:cs="Arial"/>
          <w:sz w:val="24"/>
        </w:rPr>
        <w:t xml:space="preserve">. The factors that lead to suicide are </w:t>
      </w:r>
      <w:r w:rsidRPr="00C2208C">
        <w:rPr>
          <w:rFonts w:cs="Arial"/>
          <w:sz w:val="24"/>
        </w:rPr>
        <w:t>complicated and suicide is rarely the result of a single issue. However, there are many known risk factors for suicide including male gender, middle age, mental health conditions, previous suicide and self-harm attempts, physically disabling illnesses, sub</w:t>
      </w:r>
      <w:r w:rsidRPr="00C2208C">
        <w:rPr>
          <w:rFonts w:cs="Arial"/>
          <w:sz w:val="24"/>
        </w:rPr>
        <w:t>stance misuse and stressful life events such as bereavement, debt or family breakdown</w:t>
      </w:r>
      <w:r w:rsidRPr="00C2208C">
        <w:rPr>
          <w:rFonts w:cs="Arial"/>
          <w:sz w:val="24"/>
        </w:rPr>
        <w:fldChar w:fldCharType="begin"/>
      </w:r>
      <w:r w:rsidRPr="00C2208C">
        <w:rPr>
          <w:rFonts w:cs="Arial"/>
          <w:sz w:val="24"/>
        </w:rPr>
        <w:instrText>ADDIN RW.CITE{{772 HM Government 10 September 2012}}</w:instrText>
      </w:r>
      <w:r w:rsidRPr="00C2208C">
        <w:rPr>
          <w:rFonts w:cs="Arial"/>
          <w:sz w:val="24"/>
        </w:rPr>
        <w:fldChar w:fldCharType="separate"/>
      </w:r>
      <w:r w:rsidRPr="00C2208C">
        <w:rPr>
          <w:rFonts w:eastAsia="Times New Roman" w:cs="Arial"/>
          <w:sz w:val="24"/>
        </w:rPr>
        <w:t>(2)</w:t>
      </w:r>
      <w:r w:rsidRPr="00C2208C">
        <w:rPr>
          <w:rFonts w:cs="Arial"/>
          <w:sz w:val="24"/>
        </w:rPr>
        <w:fldChar w:fldCharType="end"/>
      </w:r>
      <w:r w:rsidRPr="00C2208C">
        <w:rPr>
          <w:rFonts w:cs="Arial"/>
          <w:sz w:val="24"/>
        </w:rPr>
        <w:t>.</w:t>
      </w:r>
    </w:p>
    <w:p w:rsidR="003E2086" w:rsidP="00C2208C">
      <w:pPr>
        <w:rPr>
          <w:rFonts w:cs="Arial"/>
          <w:b/>
          <w:sz w:val="24"/>
        </w:rPr>
      </w:pPr>
      <w:r>
        <w:rPr>
          <w:rFonts w:cs="Arial"/>
          <w:b/>
          <w:sz w:val="24"/>
        </w:rPr>
        <w:t>National trends in suicide</w:t>
      </w:r>
    </w:p>
    <w:p w:rsidR="003E2086" w:rsidRPr="003E2086" w:rsidP="003E2086">
      <w:pPr>
        <w:tabs>
          <w:tab w:val="left" w:pos="9356"/>
          <w:tab w:val="left" w:pos="9498"/>
        </w:tabs>
        <w:ind w:right="81"/>
        <w:rPr>
          <w:rFonts w:cs="Arial"/>
          <w:sz w:val="24"/>
        </w:rPr>
      </w:pPr>
      <w:r w:rsidRPr="003E2086">
        <w:rPr>
          <w:rFonts w:cs="Arial"/>
          <w:sz w:val="24"/>
        </w:rPr>
        <w:t>Since the 1980s, suicide rates in the United Kingdom (UK) have been decreasing, reac</w:t>
      </w:r>
      <w:r w:rsidRPr="003E2086">
        <w:rPr>
          <w:rFonts w:cs="Arial"/>
          <w:sz w:val="24"/>
        </w:rPr>
        <w:t>hing a historical low in 2008-2010 (Figure 1)</w:t>
      </w:r>
      <w:r w:rsidRPr="003E2086">
        <w:rPr>
          <w:rFonts w:cs="Arial"/>
          <w:sz w:val="24"/>
        </w:rPr>
        <w:fldChar w:fldCharType="begin"/>
      </w:r>
      <w:r w:rsidRPr="003E2086">
        <w:rPr>
          <w:rFonts w:cs="Arial"/>
          <w:sz w:val="24"/>
        </w:rPr>
        <w:instrText>ADDIN RW.CITE{{765 Office for National Statistics 2 February 2016;772 HM Government 10 September 2012;770 Public Health England October 2016}}</w:instrText>
      </w:r>
      <w:r w:rsidRPr="003E2086">
        <w:rPr>
          <w:rFonts w:cs="Arial"/>
          <w:sz w:val="24"/>
        </w:rPr>
        <w:fldChar w:fldCharType="separate"/>
      </w:r>
      <w:r>
        <w:rPr>
          <w:rFonts w:eastAsia="Times New Roman" w:cs="Arial"/>
          <w:sz w:val="24"/>
        </w:rPr>
        <w:t>(2-4</w:t>
      </w:r>
      <w:r w:rsidRPr="003E2086">
        <w:rPr>
          <w:rFonts w:eastAsia="Times New Roman" w:cs="Arial"/>
          <w:sz w:val="24"/>
        </w:rPr>
        <w:t>)</w:t>
      </w:r>
      <w:r w:rsidRPr="003E2086">
        <w:rPr>
          <w:rFonts w:cs="Arial"/>
          <w:sz w:val="24"/>
        </w:rPr>
        <w:fldChar w:fldCharType="end"/>
      </w:r>
      <w:r w:rsidRPr="003E2086">
        <w:rPr>
          <w:rFonts w:cs="Arial"/>
          <w:sz w:val="24"/>
        </w:rPr>
        <w:t xml:space="preserve">. Rates then increased between 2010 and 2013, a phenomenon </w:t>
      </w:r>
      <w:r w:rsidRPr="003E2086">
        <w:rPr>
          <w:rFonts w:cs="Arial"/>
          <w:sz w:val="24"/>
        </w:rPr>
        <w:t>attributed by some to the effects of the global financial crisis and the subsequent economic recession</w:t>
      </w:r>
      <w:r w:rsidRPr="003E2086">
        <w:rPr>
          <w:rFonts w:cs="Arial"/>
          <w:sz w:val="24"/>
        </w:rPr>
        <w:fldChar w:fldCharType="begin"/>
      </w:r>
      <w:r w:rsidRPr="003E2086">
        <w:rPr>
          <w:rFonts w:cs="Arial"/>
          <w:sz w:val="24"/>
        </w:rPr>
        <w:instrText>ADDIN RW.CITE{{771 Reeves,A. 2014}}</w:instrText>
      </w:r>
      <w:r w:rsidRPr="003E2086">
        <w:rPr>
          <w:rFonts w:cs="Arial"/>
          <w:sz w:val="24"/>
        </w:rPr>
        <w:fldChar w:fldCharType="separate"/>
      </w:r>
      <w:r>
        <w:rPr>
          <w:rFonts w:eastAsia="Times New Roman" w:cs="Arial"/>
          <w:sz w:val="24"/>
        </w:rPr>
        <w:t>(5</w:t>
      </w:r>
      <w:r w:rsidRPr="003E2086">
        <w:rPr>
          <w:rFonts w:eastAsia="Times New Roman" w:cs="Arial"/>
          <w:sz w:val="24"/>
        </w:rPr>
        <w:t>)</w:t>
      </w:r>
      <w:r w:rsidRPr="003E2086">
        <w:rPr>
          <w:rFonts w:cs="Arial"/>
          <w:sz w:val="24"/>
        </w:rPr>
        <w:fldChar w:fldCharType="end"/>
      </w:r>
      <w:r w:rsidRPr="003E2086">
        <w:rPr>
          <w:rFonts w:cs="Arial"/>
          <w:sz w:val="24"/>
        </w:rPr>
        <w:t>. This demonstrates the volatile nature of suicide rates and the need to be responsive to emerging risks</w:t>
      </w:r>
      <w:r w:rsidRPr="003E2086">
        <w:rPr>
          <w:rFonts w:cs="Arial"/>
          <w:sz w:val="24"/>
        </w:rPr>
        <w:fldChar w:fldCharType="begin"/>
      </w:r>
      <w:r w:rsidRPr="003E2086">
        <w:rPr>
          <w:rFonts w:cs="Arial"/>
          <w:sz w:val="24"/>
        </w:rPr>
        <w:instrText>ADDIN RW.</w:instrText>
      </w:r>
      <w:r w:rsidRPr="003E2086">
        <w:rPr>
          <w:rFonts w:cs="Arial"/>
          <w:sz w:val="24"/>
        </w:rPr>
        <w:instrText>CITE{{772 HM Government 10 September 2012}}</w:instrText>
      </w:r>
      <w:r w:rsidRPr="003E2086">
        <w:rPr>
          <w:rFonts w:cs="Arial"/>
          <w:sz w:val="24"/>
        </w:rPr>
        <w:fldChar w:fldCharType="separate"/>
      </w:r>
      <w:r w:rsidRPr="003E2086">
        <w:rPr>
          <w:rFonts w:eastAsia="Times New Roman" w:cs="Arial"/>
          <w:sz w:val="24"/>
        </w:rPr>
        <w:t>(2)</w:t>
      </w:r>
      <w:r w:rsidRPr="003E2086">
        <w:rPr>
          <w:rFonts w:cs="Arial"/>
          <w:sz w:val="24"/>
        </w:rPr>
        <w:fldChar w:fldCharType="end"/>
      </w:r>
      <w:r w:rsidRPr="003E2086">
        <w:rPr>
          <w:rFonts w:cs="Arial"/>
          <w:sz w:val="24"/>
        </w:rPr>
        <w:t>. The most recent data from 2015 show a slight increase from the 2014 rate.  However, the UK's suicide rate remains low compared to other European countries</w:t>
      </w:r>
      <w:r w:rsidRPr="003E2086">
        <w:rPr>
          <w:rFonts w:cs="Arial"/>
          <w:sz w:val="24"/>
        </w:rPr>
        <w:fldChar w:fldCharType="begin"/>
      </w:r>
      <w:r w:rsidRPr="003E2086">
        <w:rPr>
          <w:rFonts w:cs="Arial"/>
          <w:sz w:val="24"/>
        </w:rPr>
        <w:instrText>ADDIN RW.CITE{{765 Office for National Statistics 2</w:instrText>
      </w:r>
      <w:r w:rsidRPr="003E2086">
        <w:rPr>
          <w:rFonts w:cs="Arial"/>
          <w:sz w:val="24"/>
        </w:rPr>
        <w:instrText xml:space="preserve"> February 2016;772 HM Government 10 September 2012}}</w:instrText>
      </w:r>
      <w:r w:rsidRPr="003E2086">
        <w:rPr>
          <w:rFonts w:cs="Arial"/>
          <w:sz w:val="24"/>
        </w:rPr>
        <w:fldChar w:fldCharType="separate"/>
      </w:r>
      <w:r>
        <w:rPr>
          <w:rFonts w:eastAsia="Times New Roman" w:cs="Arial"/>
          <w:sz w:val="24"/>
        </w:rPr>
        <w:t>(2,3</w:t>
      </w:r>
      <w:r w:rsidRPr="003E2086">
        <w:rPr>
          <w:rFonts w:eastAsia="Times New Roman" w:cs="Arial"/>
          <w:sz w:val="24"/>
        </w:rPr>
        <w:t>)</w:t>
      </w:r>
      <w:r w:rsidRPr="003E2086">
        <w:rPr>
          <w:rFonts w:cs="Arial"/>
          <w:sz w:val="24"/>
        </w:rPr>
        <w:fldChar w:fldCharType="end"/>
      </w:r>
      <w:r w:rsidRPr="003E2086">
        <w:rPr>
          <w:rFonts w:cs="Arial"/>
          <w:sz w:val="24"/>
        </w:rPr>
        <w:t>. In 2015, there were 6,188 suicides in the UK, accounting for 1.0% of all deaths</w:t>
      </w:r>
      <w:r w:rsidRPr="003E2086">
        <w:rPr>
          <w:rFonts w:cs="Arial"/>
          <w:sz w:val="24"/>
        </w:rPr>
        <w:fldChar w:fldCharType="begin"/>
      </w:r>
      <w:r w:rsidRPr="003E2086">
        <w:rPr>
          <w:rFonts w:cs="Arial"/>
          <w:sz w:val="24"/>
        </w:rPr>
        <w:instrText>ADDIN RW.CITE{{765 Office for National Statistics 2 February 2016;777 Office for National Statistics 15 July 2015}}</w:instrText>
      </w:r>
      <w:r w:rsidRPr="003E2086">
        <w:rPr>
          <w:rFonts w:cs="Arial"/>
          <w:sz w:val="24"/>
        </w:rPr>
        <w:fldChar w:fldCharType="separate"/>
      </w:r>
      <w:r>
        <w:rPr>
          <w:rFonts w:eastAsia="Times New Roman" w:cs="Arial"/>
          <w:sz w:val="24"/>
        </w:rPr>
        <w:t>(3,6</w:t>
      </w:r>
      <w:r w:rsidRPr="003E2086">
        <w:rPr>
          <w:rFonts w:eastAsia="Times New Roman" w:cs="Arial"/>
          <w:sz w:val="24"/>
        </w:rPr>
        <w:t>)</w:t>
      </w:r>
      <w:r w:rsidRPr="003E2086">
        <w:rPr>
          <w:rFonts w:cs="Arial"/>
          <w:sz w:val="24"/>
        </w:rPr>
        <w:fldChar w:fldCharType="end"/>
      </w:r>
      <w:r w:rsidRPr="003E2086">
        <w:rPr>
          <w:rFonts w:cs="Arial"/>
          <w:sz w:val="24"/>
        </w:rPr>
        <w:t>.</w:t>
      </w:r>
    </w:p>
    <w:p w:rsidR="003E2086" w:rsidRPr="003E2086" w:rsidP="003E2086">
      <w:pPr>
        <w:tabs>
          <w:tab w:val="left" w:pos="9356"/>
          <w:tab w:val="left" w:pos="9498"/>
        </w:tabs>
        <w:ind w:right="81"/>
        <w:rPr>
          <w:rFonts w:cs="Arial"/>
          <w:sz w:val="24"/>
        </w:rPr>
      </w:pPr>
    </w:p>
    <w:p w:rsidR="003E2086" w:rsidRPr="003E2086" w:rsidP="003E2086">
      <w:pPr>
        <w:tabs>
          <w:tab w:val="left" w:pos="9356"/>
          <w:tab w:val="left" w:pos="9498"/>
        </w:tabs>
        <w:ind w:right="81"/>
        <w:rPr>
          <w:b/>
          <w:sz w:val="24"/>
        </w:rPr>
      </w:pPr>
      <w:r w:rsidRPr="003E2086">
        <w:rPr>
          <w:b/>
          <w:sz w:val="24"/>
        </w:rPr>
        <w:t xml:space="preserve">Figure </w:t>
      </w:r>
      <w:r w:rsidRPr="003E2086">
        <w:rPr>
          <w:b/>
          <w:sz w:val="24"/>
        </w:rPr>
        <w:fldChar w:fldCharType="begin"/>
      </w:r>
      <w:r w:rsidRPr="003E2086">
        <w:rPr>
          <w:b/>
          <w:sz w:val="24"/>
        </w:rPr>
        <w:instrText xml:space="preserve"> SEQ Figure \* ARABIC </w:instrText>
      </w:r>
      <w:r w:rsidRPr="003E2086">
        <w:rPr>
          <w:b/>
          <w:sz w:val="24"/>
        </w:rPr>
        <w:fldChar w:fldCharType="separate"/>
      </w:r>
      <w:r w:rsidRPr="003E2086">
        <w:rPr>
          <w:b/>
          <w:noProof/>
          <w:sz w:val="24"/>
        </w:rPr>
        <w:t>1</w:t>
      </w:r>
      <w:r w:rsidRPr="003E2086">
        <w:rPr>
          <w:b/>
          <w:sz w:val="24"/>
        </w:rPr>
        <w:fldChar w:fldCharType="end"/>
      </w:r>
      <w:r w:rsidRPr="003E2086">
        <w:rPr>
          <w:b/>
          <w:sz w:val="24"/>
        </w:rPr>
        <w:t>: Age-standardised suicide rates by sex in the UK, deaths registered between 1981 and 2015</w:t>
      </w:r>
      <w:r w:rsidRPr="00D62CEC">
        <w:rPr>
          <w:b/>
          <w:sz w:val="24"/>
        </w:rPr>
        <w:fldChar w:fldCharType="begin"/>
      </w:r>
      <w:r w:rsidRPr="00D62CEC">
        <w:rPr>
          <w:b/>
          <w:sz w:val="24"/>
        </w:rPr>
        <w:instrText>ADDIN RW.CITE{{765 Office for National Statistics 2 February 2016}}</w:instrText>
      </w:r>
      <w:r w:rsidRPr="00D62CEC">
        <w:rPr>
          <w:b/>
          <w:sz w:val="24"/>
        </w:rPr>
        <w:fldChar w:fldCharType="separate"/>
      </w:r>
      <w:r w:rsidRPr="00D62CEC">
        <w:rPr>
          <w:b/>
          <w:sz w:val="24"/>
        </w:rPr>
        <w:t>(3)</w:t>
      </w:r>
      <w:r w:rsidRPr="00D62CEC">
        <w:rPr>
          <w:b/>
          <w:sz w:val="24"/>
        </w:rPr>
        <w:fldChar w:fldCharType="end"/>
      </w:r>
    </w:p>
    <w:p w:rsidR="003E2086" w:rsidP="003E2086">
      <w:pPr>
        <w:widowControl w:val="0"/>
        <w:tabs>
          <w:tab w:val="left" w:pos="9356"/>
          <w:tab w:val="left" w:pos="9498"/>
        </w:tabs>
        <w:autoSpaceDE w:val="0"/>
        <w:autoSpaceDN w:val="0"/>
        <w:adjustRightInd w:val="0"/>
        <w:spacing w:line="280" w:lineRule="atLeast"/>
        <w:ind w:right="81"/>
        <w:rPr>
          <w:rFonts w:cs="Arial"/>
          <w:lang w:val="en-US"/>
        </w:rPr>
      </w:pPr>
      <w:r>
        <w:rPr>
          <w:rFonts w:cs="Arial"/>
          <w:noProof/>
          <w:lang w:eastAsia="en-GB"/>
        </w:rPr>
        <w:drawing>
          <wp:inline distT="0" distB="0" distL="0" distR="0">
            <wp:extent cx="5226148" cy="28242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235705" cy="2829457"/>
                    </a:xfrm>
                    <a:prstGeom prst="rect">
                      <a:avLst/>
                    </a:prstGeom>
                    <a:noFill/>
                    <a:ln>
                      <a:noFill/>
                    </a:ln>
                  </pic:spPr>
                </pic:pic>
              </a:graphicData>
            </a:graphic>
          </wp:inline>
        </w:drawing>
      </w:r>
    </w:p>
    <w:p w:rsidR="003E2086" w:rsidRPr="003E2086" w:rsidP="003E2086">
      <w:pPr>
        <w:widowControl w:val="0"/>
        <w:tabs>
          <w:tab w:val="left" w:pos="9356"/>
          <w:tab w:val="left" w:pos="9498"/>
        </w:tabs>
        <w:autoSpaceDE w:val="0"/>
        <w:autoSpaceDN w:val="0"/>
        <w:adjustRightInd w:val="0"/>
        <w:spacing w:line="280" w:lineRule="atLeast"/>
        <w:ind w:right="81"/>
        <w:rPr>
          <w:rFonts w:cs="Arial"/>
          <w:sz w:val="18"/>
          <w:szCs w:val="18"/>
          <w:lang w:val="en-US"/>
        </w:rPr>
      </w:pPr>
      <w:r w:rsidRPr="005032E9">
        <w:rPr>
          <w:rFonts w:eastAsia="Times New Roman" w:cs="Arial"/>
          <w:sz w:val="18"/>
          <w:szCs w:val="18"/>
        </w:rPr>
        <w:t>Source: Office for National Statistics, Nation</w:t>
      </w:r>
      <w:r w:rsidRPr="005032E9">
        <w:rPr>
          <w:rFonts w:eastAsia="Times New Roman" w:cs="Arial"/>
          <w:sz w:val="18"/>
          <w:szCs w:val="18"/>
        </w:rPr>
        <w:t>al Records of Scotland, Northern Ireland</w:t>
      </w:r>
      <w:r>
        <w:rPr>
          <w:rFonts w:eastAsia="Times New Roman" w:cs="Arial"/>
          <w:sz w:val="18"/>
          <w:szCs w:val="18"/>
        </w:rPr>
        <w:t xml:space="preserve"> Statistics and Research Agency</w:t>
      </w:r>
    </w:p>
    <w:p w:rsidR="00D62CEC" w:rsidP="003E2086">
      <w:pPr>
        <w:tabs>
          <w:tab w:val="left" w:pos="9356"/>
          <w:tab w:val="left" w:pos="9498"/>
        </w:tabs>
        <w:ind w:right="81"/>
        <w:rPr>
          <w:rFonts w:cs="Arial"/>
          <w:i/>
          <w:sz w:val="24"/>
          <w:szCs w:val="24"/>
        </w:rPr>
      </w:pPr>
      <w:r>
        <w:rPr>
          <w:rFonts w:cs="Arial"/>
          <w:i/>
          <w:sz w:val="24"/>
          <w:szCs w:val="24"/>
        </w:rPr>
        <w:t>Gender and age</w:t>
      </w:r>
    </w:p>
    <w:p w:rsidR="003E2086" w:rsidRPr="00C77B4F" w:rsidP="003E2086">
      <w:pPr>
        <w:tabs>
          <w:tab w:val="left" w:pos="9356"/>
          <w:tab w:val="left" w:pos="9498"/>
        </w:tabs>
        <w:ind w:right="81"/>
        <w:rPr>
          <w:rFonts w:cs="Arial"/>
          <w:sz w:val="24"/>
          <w:szCs w:val="24"/>
        </w:rPr>
      </w:pPr>
      <w:r w:rsidRPr="00C77B4F">
        <w:rPr>
          <w:rFonts w:cs="Arial"/>
          <w:sz w:val="24"/>
          <w:szCs w:val="24"/>
        </w:rPr>
        <w:t>The suicide rate amongst males is consistently around three times higher than that of females across all ages in the UK</w:t>
      </w:r>
      <w:r w:rsidRPr="00C77B4F">
        <w:rPr>
          <w:rFonts w:cs="Arial"/>
          <w:sz w:val="24"/>
          <w:szCs w:val="24"/>
        </w:rPr>
        <w:fldChar w:fldCharType="begin"/>
      </w:r>
      <w:r w:rsidRPr="00C77B4F">
        <w:rPr>
          <w:rFonts w:cs="Arial"/>
          <w:sz w:val="24"/>
          <w:szCs w:val="24"/>
        </w:rPr>
        <w:instrText xml:space="preserve">ADDIN RW.CITE{{765 Office for National Statistics </w:instrText>
      </w:r>
      <w:r w:rsidRPr="00C77B4F">
        <w:rPr>
          <w:rFonts w:cs="Arial"/>
          <w:sz w:val="24"/>
          <w:szCs w:val="24"/>
        </w:rPr>
        <w:instrText>2 February 2016}}</w:instrText>
      </w:r>
      <w:r w:rsidRPr="00C77B4F">
        <w:rPr>
          <w:rFonts w:cs="Arial"/>
          <w:sz w:val="24"/>
          <w:szCs w:val="24"/>
        </w:rPr>
        <w:fldChar w:fldCharType="separate"/>
      </w:r>
      <w:r>
        <w:rPr>
          <w:rFonts w:eastAsia="Times New Roman" w:cs="Arial"/>
          <w:sz w:val="24"/>
          <w:szCs w:val="24"/>
        </w:rPr>
        <w:t>(3</w:t>
      </w:r>
      <w:r w:rsidRPr="00C77B4F">
        <w:rPr>
          <w:rFonts w:eastAsia="Times New Roman" w:cs="Arial"/>
          <w:sz w:val="24"/>
          <w:szCs w:val="24"/>
        </w:rPr>
        <w:t>)</w:t>
      </w:r>
      <w:r w:rsidRPr="00C77B4F">
        <w:rPr>
          <w:rFonts w:cs="Arial"/>
          <w:sz w:val="24"/>
          <w:szCs w:val="24"/>
        </w:rPr>
        <w:fldChar w:fldCharType="end"/>
      </w:r>
      <w:r w:rsidRPr="00C77B4F">
        <w:rPr>
          <w:rFonts w:cs="Arial"/>
          <w:sz w:val="24"/>
          <w:szCs w:val="24"/>
        </w:rPr>
        <w:t>. Males aged 45-59 years continue to have the highest suicide rate and males aged 30-44 years the second highest, although the incidence is falling in both groups</w:t>
      </w:r>
      <w:r w:rsidRPr="00C77B4F">
        <w:rPr>
          <w:rFonts w:cs="Arial"/>
          <w:sz w:val="24"/>
          <w:szCs w:val="24"/>
        </w:rPr>
        <w:fldChar w:fldCharType="begin"/>
      </w:r>
      <w:r w:rsidRPr="00C77B4F">
        <w:rPr>
          <w:rFonts w:cs="Arial"/>
          <w:sz w:val="24"/>
          <w:szCs w:val="24"/>
        </w:rPr>
        <w:instrText>ADDIN RW.CITE{{765 Office for National Statistics 2 February 2016}}</w:instrText>
      </w:r>
      <w:r w:rsidRPr="00C77B4F">
        <w:rPr>
          <w:rFonts w:cs="Arial"/>
          <w:sz w:val="24"/>
          <w:szCs w:val="24"/>
        </w:rPr>
        <w:fldChar w:fldCharType="separate"/>
      </w:r>
      <w:r>
        <w:rPr>
          <w:rFonts w:eastAsia="Times New Roman" w:cs="Arial"/>
          <w:sz w:val="24"/>
          <w:szCs w:val="24"/>
        </w:rPr>
        <w:t>(3</w:t>
      </w:r>
      <w:r w:rsidRPr="00C77B4F">
        <w:rPr>
          <w:rFonts w:eastAsia="Times New Roman" w:cs="Arial"/>
          <w:sz w:val="24"/>
          <w:szCs w:val="24"/>
        </w:rPr>
        <w:t>)</w:t>
      </w:r>
      <w:r w:rsidRPr="00C77B4F">
        <w:rPr>
          <w:rFonts w:cs="Arial"/>
          <w:sz w:val="24"/>
          <w:szCs w:val="24"/>
        </w:rPr>
        <w:fldChar w:fldCharType="end"/>
      </w:r>
      <w:r w:rsidRPr="00C77B4F">
        <w:rPr>
          <w:rFonts w:cs="Arial"/>
          <w:sz w:val="24"/>
          <w:szCs w:val="24"/>
        </w:rPr>
        <w:t>. In contrast, males under 30 years have the lowest male suicide rate, but this is increasing</w:t>
      </w:r>
      <w:r w:rsidRPr="00C77B4F">
        <w:rPr>
          <w:rFonts w:cs="Arial"/>
          <w:sz w:val="24"/>
          <w:szCs w:val="24"/>
        </w:rPr>
        <w:fldChar w:fldCharType="begin"/>
      </w:r>
      <w:r w:rsidRPr="00C77B4F">
        <w:rPr>
          <w:rFonts w:cs="Arial"/>
          <w:sz w:val="24"/>
          <w:szCs w:val="24"/>
        </w:rPr>
        <w:instrText>ADDIN RW.CITE{{765 Office for National Statistics 2 February 2016}}</w:instrText>
      </w:r>
      <w:r w:rsidRPr="00C77B4F">
        <w:rPr>
          <w:rFonts w:cs="Arial"/>
          <w:sz w:val="24"/>
          <w:szCs w:val="24"/>
        </w:rPr>
        <w:fldChar w:fldCharType="separate"/>
      </w:r>
      <w:r>
        <w:rPr>
          <w:rFonts w:eastAsia="Times New Roman" w:cs="Arial"/>
          <w:sz w:val="24"/>
          <w:szCs w:val="24"/>
        </w:rPr>
        <w:t>(3</w:t>
      </w:r>
      <w:r w:rsidRPr="00C77B4F">
        <w:rPr>
          <w:rFonts w:eastAsia="Times New Roman" w:cs="Arial"/>
          <w:sz w:val="24"/>
          <w:szCs w:val="24"/>
        </w:rPr>
        <w:t>)</w:t>
      </w:r>
      <w:r w:rsidRPr="00C77B4F">
        <w:rPr>
          <w:rFonts w:cs="Arial"/>
          <w:sz w:val="24"/>
          <w:szCs w:val="24"/>
        </w:rPr>
        <w:fldChar w:fldCharType="end"/>
      </w:r>
      <w:r w:rsidRPr="00C77B4F">
        <w:rPr>
          <w:rFonts w:cs="Arial"/>
          <w:sz w:val="24"/>
          <w:szCs w:val="24"/>
        </w:rPr>
        <w:t>. Similarly, females aged 45-59 years consistently have the highest suicide rate and tho</w:t>
      </w:r>
      <w:r w:rsidRPr="00C77B4F">
        <w:rPr>
          <w:rFonts w:cs="Arial"/>
          <w:sz w:val="24"/>
          <w:szCs w:val="24"/>
        </w:rPr>
        <w:t>se aged 30-44 years the second highest</w:t>
      </w:r>
      <w:r w:rsidRPr="00C77B4F">
        <w:rPr>
          <w:rFonts w:cs="Arial"/>
          <w:sz w:val="24"/>
          <w:szCs w:val="24"/>
        </w:rPr>
        <w:fldChar w:fldCharType="begin"/>
      </w:r>
      <w:r w:rsidRPr="00C77B4F">
        <w:rPr>
          <w:rFonts w:cs="Arial"/>
          <w:sz w:val="24"/>
          <w:szCs w:val="24"/>
        </w:rPr>
        <w:instrText>ADDIN RW.CITE{{765 Office for National Statistics 2 February 2016}}</w:instrText>
      </w:r>
      <w:r w:rsidRPr="00C77B4F">
        <w:rPr>
          <w:rFonts w:cs="Arial"/>
          <w:sz w:val="24"/>
          <w:szCs w:val="24"/>
        </w:rPr>
        <w:fldChar w:fldCharType="separate"/>
      </w:r>
      <w:r>
        <w:rPr>
          <w:rFonts w:eastAsia="Times New Roman" w:cs="Arial"/>
          <w:sz w:val="24"/>
          <w:szCs w:val="24"/>
        </w:rPr>
        <w:t>(3</w:t>
      </w:r>
      <w:r w:rsidRPr="00C77B4F">
        <w:rPr>
          <w:rFonts w:eastAsia="Times New Roman" w:cs="Arial"/>
          <w:sz w:val="24"/>
          <w:szCs w:val="24"/>
        </w:rPr>
        <w:t>)</w:t>
      </w:r>
      <w:r w:rsidRPr="00C77B4F">
        <w:rPr>
          <w:rFonts w:cs="Arial"/>
          <w:sz w:val="24"/>
          <w:szCs w:val="24"/>
        </w:rPr>
        <w:fldChar w:fldCharType="end"/>
      </w:r>
      <w:r w:rsidRPr="00C77B4F">
        <w:rPr>
          <w:rFonts w:cs="Arial"/>
          <w:sz w:val="24"/>
          <w:szCs w:val="24"/>
        </w:rPr>
        <w:t>.</w:t>
      </w:r>
    </w:p>
    <w:p w:rsidR="00D62CEC" w:rsidP="003E2086">
      <w:pPr>
        <w:tabs>
          <w:tab w:val="left" w:pos="9498"/>
        </w:tabs>
        <w:ind w:right="81"/>
        <w:rPr>
          <w:rFonts w:cs="Arial"/>
          <w:i/>
          <w:sz w:val="24"/>
          <w:szCs w:val="24"/>
        </w:rPr>
      </w:pPr>
      <w:r>
        <w:rPr>
          <w:rFonts w:cs="Arial"/>
          <w:i/>
          <w:sz w:val="24"/>
          <w:szCs w:val="24"/>
        </w:rPr>
        <w:t>Socio-economic status</w:t>
      </w:r>
    </w:p>
    <w:p w:rsidR="003E2086" w:rsidRPr="00C77B4F" w:rsidP="003E2086">
      <w:pPr>
        <w:tabs>
          <w:tab w:val="left" w:pos="9498"/>
        </w:tabs>
        <w:ind w:right="81"/>
        <w:rPr>
          <w:rFonts w:cs="Arial"/>
          <w:sz w:val="24"/>
          <w:szCs w:val="24"/>
        </w:rPr>
      </w:pPr>
      <w:r w:rsidRPr="00C77B4F">
        <w:rPr>
          <w:rFonts w:cs="Arial"/>
          <w:sz w:val="24"/>
          <w:szCs w:val="24"/>
        </w:rPr>
        <w:t>As well as variation by sex, suicide rates vary considerably according to socioeconomic characteristics, with suicide rat</w:t>
      </w:r>
      <w:r w:rsidRPr="00C77B4F">
        <w:rPr>
          <w:rFonts w:cs="Arial"/>
          <w:sz w:val="24"/>
          <w:szCs w:val="24"/>
        </w:rPr>
        <w:t>es reflecting wider inequalities. People in the lowest socioeconomic group and living in the most deprived geographical areas are ten times more likely to complete suicide than those in the highest socioeconomic group living in the most affluent areas</w:t>
      </w:r>
      <w:r w:rsidRPr="00C77B4F">
        <w:rPr>
          <w:rFonts w:cs="Arial"/>
          <w:sz w:val="24"/>
          <w:szCs w:val="24"/>
        </w:rPr>
        <w:fldChar w:fldCharType="begin"/>
      </w:r>
      <w:r w:rsidRPr="00C77B4F">
        <w:rPr>
          <w:rFonts w:cs="Arial"/>
          <w:sz w:val="24"/>
          <w:szCs w:val="24"/>
        </w:rPr>
        <w:instrText>ADDIN</w:instrText>
      </w:r>
      <w:r w:rsidRPr="00C77B4F">
        <w:rPr>
          <w:rFonts w:cs="Arial"/>
          <w:sz w:val="24"/>
          <w:szCs w:val="24"/>
        </w:rPr>
        <w:instrText xml:space="preserve"> RW.CITE{{770 Public Health England October 2016}}</w:instrText>
      </w:r>
      <w:r w:rsidRPr="00C77B4F">
        <w:rPr>
          <w:rFonts w:cs="Arial"/>
          <w:sz w:val="24"/>
          <w:szCs w:val="24"/>
        </w:rPr>
        <w:fldChar w:fldCharType="separate"/>
      </w:r>
      <w:r>
        <w:rPr>
          <w:rFonts w:eastAsia="Times New Roman" w:cs="Arial"/>
          <w:sz w:val="24"/>
          <w:szCs w:val="24"/>
        </w:rPr>
        <w:t>(4</w:t>
      </w:r>
      <w:r w:rsidRPr="00C77B4F">
        <w:rPr>
          <w:rFonts w:eastAsia="Times New Roman" w:cs="Arial"/>
          <w:sz w:val="24"/>
          <w:szCs w:val="24"/>
        </w:rPr>
        <w:t>)</w:t>
      </w:r>
      <w:r w:rsidRPr="00C77B4F">
        <w:rPr>
          <w:rFonts w:cs="Arial"/>
          <w:sz w:val="24"/>
          <w:szCs w:val="24"/>
        </w:rPr>
        <w:fldChar w:fldCharType="end"/>
      </w:r>
      <w:r w:rsidRPr="00C77B4F">
        <w:rPr>
          <w:rFonts w:cs="Arial"/>
          <w:sz w:val="24"/>
          <w:szCs w:val="24"/>
        </w:rPr>
        <w:t>.</w:t>
      </w:r>
    </w:p>
    <w:p w:rsidR="00D62CEC" w:rsidP="003E2086">
      <w:pPr>
        <w:tabs>
          <w:tab w:val="left" w:pos="9498"/>
        </w:tabs>
        <w:ind w:right="81"/>
        <w:rPr>
          <w:rFonts w:cs="Arial"/>
          <w:i/>
          <w:sz w:val="24"/>
          <w:szCs w:val="24"/>
        </w:rPr>
      </w:pPr>
      <w:r>
        <w:rPr>
          <w:rFonts w:cs="Arial"/>
          <w:i/>
          <w:sz w:val="24"/>
          <w:szCs w:val="24"/>
        </w:rPr>
        <w:t>Means of suicide</w:t>
      </w:r>
    </w:p>
    <w:p w:rsidR="003E2086" w:rsidRPr="00C77B4F" w:rsidP="003E2086">
      <w:pPr>
        <w:tabs>
          <w:tab w:val="left" w:pos="9498"/>
        </w:tabs>
        <w:ind w:right="81"/>
        <w:rPr>
          <w:rFonts w:cs="Arial"/>
          <w:sz w:val="24"/>
          <w:szCs w:val="24"/>
        </w:rPr>
      </w:pPr>
      <w:r w:rsidRPr="00C77B4F">
        <w:rPr>
          <w:rFonts w:cs="Arial"/>
          <w:sz w:val="24"/>
          <w:szCs w:val="24"/>
        </w:rPr>
        <w:t>The most common method of suicide in the UK is hanging, with rates of hanging increasing in recent years, potentially as a consequence of other methods becoming less accessible; for</w:t>
      </w:r>
      <w:r w:rsidRPr="00C77B4F">
        <w:rPr>
          <w:rFonts w:cs="Arial"/>
          <w:sz w:val="24"/>
          <w:szCs w:val="24"/>
        </w:rPr>
        <w:t xml:space="preserve"> example, the impact of catalytic converters in cars in reducing suicides by carbon monoxide poisoning</w:t>
      </w:r>
      <w:r w:rsidRPr="00C77B4F">
        <w:rPr>
          <w:rFonts w:cs="Arial"/>
          <w:sz w:val="24"/>
          <w:szCs w:val="24"/>
        </w:rPr>
        <w:fldChar w:fldCharType="begin"/>
      </w:r>
      <w:r w:rsidRPr="00C77B4F">
        <w:rPr>
          <w:rFonts w:cs="Arial"/>
          <w:sz w:val="24"/>
          <w:szCs w:val="24"/>
        </w:rPr>
        <w:instrText>ADDIN RW.CITE{{776 Routley,V.H. 1998;765 Office for National Statistics 2 February 2016}}</w:instrText>
      </w:r>
      <w:r w:rsidRPr="00C77B4F">
        <w:rPr>
          <w:rFonts w:cs="Arial"/>
          <w:sz w:val="24"/>
          <w:szCs w:val="24"/>
        </w:rPr>
        <w:fldChar w:fldCharType="separate"/>
      </w:r>
      <w:r w:rsidRPr="00C77B4F">
        <w:rPr>
          <w:rFonts w:eastAsia="Times New Roman" w:cs="Arial"/>
          <w:sz w:val="24"/>
          <w:szCs w:val="24"/>
        </w:rPr>
        <w:t>(</w:t>
      </w:r>
      <w:r>
        <w:rPr>
          <w:rFonts w:eastAsia="Times New Roman" w:cs="Arial"/>
          <w:sz w:val="24"/>
          <w:szCs w:val="24"/>
        </w:rPr>
        <w:t>3</w:t>
      </w:r>
      <w:r w:rsidRPr="00C77B4F">
        <w:rPr>
          <w:rFonts w:eastAsia="Times New Roman" w:cs="Arial"/>
          <w:sz w:val="24"/>
          <w:szCs w:val="24"/>
        </w:rPr>
        <w:t>,</w:t>
      </w:r>
      <w:r>
        <w:rPr>
          <w:rFonts w:eastAsia="Times New Roman" w:cs="Arial"/>
          <w:sz w:val="24"/>
          <w:szCs w:val="24"/>
        </w:rPr>
        <w:t>7</w:t>
      </w:r>
      <w:r w:rsidRPr="00C77B4F">
        <w:rPr>
          <w:rFonts w:eastAsia="Times New Roman" w:cs="Arial"/>
          <w:sz w:val="24"/>
          <w:szCs w:val="24"/>
        </w:rPr>
        <w:t>)</w:t>
      </w:r>
      <w:r w:rsidRPr="00C77B4F">
        <w:rPr>
          <w:rFonts w:cs="Arial"/>
          <w:sz w:val="24"/>
          <w:szCs w:val="24"/>
        </w:rPr>
        <w:fldChar w:fldCharType="end"/>
      </w:r>
      <w:r w:rsidRPr="00C77B4F">
        <w:rPr>
          <w:rFonts w:cs="Arial"/>
          <w:sz w:val="24"/>
          <w:szCs w:val="24"/>
        </w:rPr>
        <w:t>. Self-poisoning is the second most common method of suic</w:t>
      </w:r>
      <w:r w:rsidRPr="00C77B4F">
        <w:rPr>
          <w:rFonts w:cs="Arial"/>
          <w:sz w:val="24"/>
          <w:szCs w:val="24"/>
        </w:rPr>
        <w:t>ide nationally</w:t>
      </w:r>
      <w:r w:rsidRPr="00C77B4F">
        <w:rPr>
          <w:rFonts w:cs="Arial"/>
          <w:sz w:val="24"/>
          <w:szCs w:val="24"/>
        </w:rPr>
        <w:fldChar w:fldCharType="begin"/>
      </w:r>
      <w:r w:rsidRPr="00C77B4F">
        <w:rPr>
          <w:rFonts w:cs="Arial"/>
          <w:sz w:val="24"/>
          <w:szCs w:val="24"/>
        </w:rPr>
        <w:instrText>ADDIN RW.CITE{{765 Office for National Statistics 2 February 2016}}</w:instrText>
      </w:r>
      <w:r w:rsidRPr="00C77B4F">
        <w:rPr>
          <w:rFonts w:cs="Arial"/>
          <w:sz w:val="24"/>
          <w:szCs w:val="24"/>
        </w:rPr>
        <w:fldChar w:fldCharType="separate"/>
      </w:r>
      <w:r>
        <w:rPr>
          <w:rFonts w:eastAsia="Times New Roman" w:cs="Arial"/>
          <w:sz w:val="24"/>
          <w:szCs w:val="24"/>
        </w:rPr>
        <w:t>(3</w:t>
      </w:r>
      <w:r w:rsidRPr="00C77B4F">
        <w:rPr>
          <w:rFonts w:eastAsia="Times New Roman" w:cs="Arial"/>
          <w:sz w:val="24"/>
          <w:szCs w:val="24"/>
        </w:rPr>
        <w:t>)</w:t>
      </w:r>
      <w:r w:rsidRPr="00C77B4F">
        <w:rPr>
          <w:rFonts w:cs="Arial"/>
          <w:sz w:val="24"/>
          <w:szCs w:val="24"/>
        </w:rPr>
        <w:fldChar w:fldCharType="end"/>
      </w:r>
      <w:r w:rsidRPr="00C77B4F">
        <w:rPr>
          <w:rFonts w:cs="Arial"/>
          <w:sz w:val="24"/>
          <w:szCs w:val="24"/>
        </w:rPr>
        <w:t>.</w:t>
      </w:r>
    </w:p>
    <w:p w:rsidR="003E2086" w:rsidRPr="00C77B4F" w:rsidP="003E2086">
      <w:pPr>
        <w:tabs>
          <w:tab w:val="left" w:pos="9498"/>
        </w:tabs>
        <w:ind w:right="81"/>
        <w:rPr>
          <w:rFonts w:cs="Arial"/>
          <w:sz w:val="24"/>
          <w:szCs w:val="24"/>
        </w:rPr>
      </w:pPr>
    </w:p>
    <w:p w:rsidR="003E2086" w:rsidRPr="003E2086" w:rsidP="003E2086">
      <w:pPr>
        <w:rPr>
          <w:rFonts w:cs="Arial"/>
          <w:b/>
          <w:sz w:val="24"/>
        </w:rPr>
      </w:pPr>
      <w:r>
        <w:rPr>
          <w:rFonts w:cs="Arial"/>
          <w:b/>
          <w:sz w:val="24"/>
        </w:rPr>
        <w:t>Suicide in Lancashire</w:t>
      </w:r>
    </w:p>
    <w:p w:rsidR="003E2086" w:rsidRPr="003E2086" w:rsidP="003E2086">
      <w:pPr>
        <w:tabs>
          <w:tab w:val="left" w:pos="9498"/>
        </w:tabs>
        <w:ind w:right="81"/>
        <w:rPr>
          <w:rFonts w:cs="Arial"/>
          <w:sz w:val="24"/>
        </w:rPr>
      </w:pPr>
      <w:r w:rsidRPr="003E2086">
        <w:rPr>
          <w:rFonts w:cs="Arial"/>
          <w:sz w:val="24"/>
        </w:rPr>
        <w:t>Suicide rates in Lancashire are high. Amongst women under 30 years old and males under 40 years old, suicide is the lead</w:t>
      </w:r>
      <w:r>
        <w:rPr>
          <w:rFonts w:cs="Arial"/>
          <w:sz w:val="24"/>
        </w:rPr>
        <w:t xml:space="preserve">ing cause of death in </w:t>
      </w:r>
      <w:r>
        <w:rPr>
          <w:rFonts w:cs="Arial"/>
          <w:sz w:val="24"/>
        </w:rPr>
        <w:t>the county</w:t>
      </w:r>
      <w:r w:rsidRPr="003E2086">
        <w:rPr>
          <w:rFonts w:cs="Arial"/>
          <w:sz w:val="24"/>
        </w:rPr>
        <w:t>. Overall suicide rates (all persons), female suicide rates and years of life lost due to suicide (all persons, males and females) are significantly higher than the national figures and Lancashire does not perform significantly better than the na</w:t>
      </w:r>
      <w:r w:rsidRPr="003E2086">
        <w:rPr>
          <w:rFonts w:cs="Arial"/>
          <w:sz w:val="24"/>
        </w:rPr>
        <w:t>tional average on any suicide indicator</w:t>
      </w:r>
      <w:r w:rsidRPr="003E2086">
        <w:rPr>
          <w:rFonts w:cs="Arial"/>
          <w:sz w:val="24"/>
        </w:rPr>
        <w:fldChar w:fldCharType="begin"/>
      </w:r>
      <w:r w:rsidRPr="003E2086">
        <w:rPr>
          <w:rFonts w:cs="Arial"/>
          <w:sz w:val="24"/>
        </w:rPr>
        <w:instrText>ADDIN RW.CITE{{768 Public Health England 2016}}</w:instrText>
      </w:r>
      <w:r w:rsidRPr="003E2086">
        <w:rPr>
          <w:rFonts w:cs="Arial"/>
          <w:sz w:val="24"/>
        </w:rPr>
        <w:fldChar w:fldCharType="separate"/>
      </w:r>
      <w:r>
        <w:rPr>
          <w:rFonts w:eastAsia="Times New Roman" w:cs="Arial"/>
          <w:sz w:val="24"/>
        </w:rPr>
        <w:t>(8</w:t>
      </w:r>
      <w:r w:rsidRPr="003E2086">
        <w:rPr>
          <w:rFonts w:eastAsia="Times New Roman" w:cs="Arial"/>
          <w:sz w:val="24"/>
        </w:rPr>
        <w:t>)</w:t>
      </w:r>
      <w:r w:rsidRPr="003E2086">
        <w:rPr>
          <w:rFonts w:cs="Arial"/>
          <w:sz w:val="24"/>
        </w:rPr>
        <w:fldChar w:fldCharType="end"/>
      </w:r>
      <w:r w:rsidRPr="003E2086">
        <w:rPr>
          <w:rFonts w:cs="Arial"/>
          <w:sz w:val="24"/>
        </w:rPr>
        <w:t xml:space="preserve">. Figures released in 2016 by the Office for National Statistics (ONS) showed that between 2012 and 2014, of 326 unitary and district authorities, Preston had the </w:t>
      </w:r>
      <w:r w:rsidRPr="003E2086">
        <w:rPr>
          <w:rFonts w:cs="Arial"/>
          <w:sz w:val="24"/>
        </w:rPr>
        <w:t>highest suicide rate of all English local authorities and Hyndburn the seventh highest rate</w:t>
      </w:r>
      <w:r w:rsidRPr="003E2086">
        <w:rPr>
          <w:rFonts w:cs="Arial"/>
          <w:sz w:val="24"/>
        </w:rPr>
        <w:fldChar w:fldCharType="begin"/>
      </w:r>
      <w:r w:rsidRPr="003E2086">
        <w:rPr>
          <w:rFonts w:cs="Arial"/>
          <w:sz w:val="24"/>
        </w:rPr>
        <w:instrText>ADDIN RW.CITE{{765 Office for National Statistics 2 February 2016}}</w:instrText>
      </w:r>
      <w:r w:rsidRPr="003E2086">
        <w:rPr>
          <w:rFonts w:cs="Arial"/>
          <w:sz w:val="24"/>
        </w:rPr>
        <w:fldChar w:fldCharType="separate"/>
      </w:r>
      <w:r w:rsidRPr="003E2086">
        <w:rPr>
          <w:rFonts w:eastAsia="Times New Roman" w:cs="Arial"/>
          <w:sz w:val="24"/>
        </w:rPr>
        <w:t>(9)</w:t>
      </w:r>
      <w:r w:rsidRPr="003E2086">
        <w:rPr>
          <w:rFonts w:cs="Arial"/>
          <w:sz w:val="24"/>
        </w:rPr>
        <w:fldChar w:fldCharType="end"/>
      </w:r>
      <w:r w:rsidRPr="003E2086">
        <w:rPr>
          <w:rFonts w:cs="Arial"/>
          <w:sz w:val="24"/>
        </w:rPr>
        <w:t xml:space="preserve">. Using more recent pooled data between 2013 and 2015, Preston continues to have the fourth </w:t>
      </w:r>
      <w:r w:rsidRPr="003E2086">
        <w:rPr>
          <w:rFonts w:cs="Arial"/>
          <w:sz w:val="24"/>
        </w:rPr>
        <w:t>highest suicide rate and Hyndburn the twenty-seventh highest</w:t>
      </w:r>
      <w:r w:rsidRPr="003E2086">
        <w:rPr>
          <w:rFonts w:cs="Arial"/>
          <w:sz w:val="24"/>
        </w:rPr>
        <w:fldChar w:fldCharType="begin"/>
      </w:r>
      <w:r w:rsidRPr="003E2086">
        <w:rPr>
          <w:rFonts w:cs="Arial"/>
          <w:sz w:val="24"/>
        </w:rPr>
        <w:instrText>ADDIN RW.CITE{{768 Public Health England 2016}}</w:instrText>
      </w:r>
      <w:r w:rsidRPr="003E2086">
        <w:rPr>
          <w:rFonts w:cs="Arial"/>
          <w:sz w:val="24"/>
        </w:rPr>
        <w:fldChar w:fldCharType="separate"/>
      </w:r>
      <w:r>
        <w:rPr>
          <w:rFonts w:eastAsia="Times New Roman" w:cs="Arial"/>
          <w:sz w:val="24"/>
        </w:rPr>
        <w:t>(8</w:t>
      </w:r>
      <w:r w:rsidRPr="003E2086">
        <w:rPr>
          <w:rFonts w:eastAsia="Times New Roman" w:cs="Arial"/>
          <w:sz w:val="24"/>
        </w:rPr>
        <w:t>)</w:t>
      </w:r>
      <w:r w:rsidRPr="003E2086">
        <w:rPr>
          <w:rFonts w:cs="Arial"/>
          <w:sz w:val="24"/>
        </w:rPr>
        <w:fldChar w:fldCharType="end"/>
      </w:r>
      <w:r w:rsidRPr="003E2086">
        <w:rPr>
          <w:rFonts w:cs="Arial"/>
          <w:sz w:val="24"/>
        </w:rPr>
        <w:t xml:space="preserve">. </w:t>
      </w:r>
    </w:p>
    <w:p w:rsidR="003E2086" w:rsidRPr="003E2086" w:rsidP="003E2086">
      <w:pPr>
        <w:tabs>
          <w:tab w:val="left" w:pos="9356"/>
          <w:tab w:val="left" w:pos="9498"/>
        </w:tabs>
        <w:ind w:right="81"/>
        <w:rPr>
          <w:rFonts w:cs="Arial"/>
          <w:sz w:val="4"/>
        </w:rPr>
      </w:pPr>
    </w:p>
    <w:p w:rsidR="004C26EF" w:rsidP="004C26EF">
      <w:pPr>
        <w:tabs>
          <w:tab w:val="left" w:pos="9356"/>
          <w:tab w:val="left" w:pos="9498"/>
        </w:tabs>
        <w:ind w:right="81"/>
        <w:rPr>
          <w:rFonts w:cs="Arial"/>
          <w:sz w:val="24"/>
        </w:rPr>
      </w:pPr>
      <w:r w:rsidRPr="003E2086">
        <w:rPr>
          <w:rFonts w:cs="Arial"/>
          <w:sz w:val="24"/>
        </w:rPr>
        <w:t>As displayed in Figure 2, suicide rates in Lancashire were in line with national figures until 2005-2007, after which rates in Lancashire i</w:t>
      </w:r>
      <w:r w:rsidRPr="003E2086">
        <w:rPr>
          <w:rFonts w:cs="Arial"/>
          <w:sz w:val="24"/>
        </w:rPr>
        <w:t>ncreased and have remained significantly higher than the national figure since 2007-2009. This is demonstrated by the 95% confidence intervals that do not contain the national value. This divergence from the national figure has been more pronounced for mal</w:t>
      </w:r>
      <w:r w:rsidRPr="003E2086">
        <w:rPr>
          <w:rFonts w:cs="Arial"/>
          <w:sz w:val="24"/>
        </w:rPr>
        <w:t xml:space="preserve">es than females, as can be seen in Figure 3. Data is presented using three-year pooled averages because these provide a more </w:t>
      </w:r>
      <w:r w:rsidRPr="003E2086">
        <w:rPr>
          <w:rFonts w:cs="Arial"/>
          <w:sz w:val="24"/>
        </w:rPr>
        <w:t xml:space="preserve">resistant measure for local data, where yearly numbers are relatively low and fluctuate widely due to random error. </w:t>
      </w:r>
      <w:bookmarkStart w:id="1" w:name="_Toc483899697"/>
    </w:p>
    <w:p w:rsidR="003E2086" w:rsidRPr="004C26EF" w:rsidP="004C26EF">
      <w:pPr>
        <w:tabs>
          <w:tab w:val="left" w:pos="9356"/>
          <w:tab w:val="left" w:pos="9498"/>
        </w:tabs>
        <w:ind w:right="81"/>
        <w:rPr>
          <w:rFonts w:cs="Arial"/>
          <w:sz w:val="24"/>
        </w:rPr>
      </w:pPr>
      <w:r w:rsidRPr="003E2086">
        <w:rPr>
          <w:b/>
          <w:sz w:val="24"/>
        </w:rPr>
        <w:t xml:space="preserve">Figure </w:t>
      </w:r>
      <w:r w:rsidRPr="003E2086">
        <w:rPr>
          <w:b/>
          <w:sz w:val="24"/>
        </w:rPr>
        <w:fldChar w:fldCharType="begin"/>
      </w:r>
      <w:r w:rsidRPr="003E2086">
        <w:rPr>
          <w:b/>
          <w:sz w:val="24"/>
        </w:rPr>
        <w:instrText xml:space="preserve"> SEQ Fi</w:instrText>
      </w:r>
      <w:r w:rsidRPr="003E2086">
        <w:rPr>
          <w:b/>
          <w:sz w:val="24"/>
        </w:rPr>
        <w:instrText xml:space="preserve">gure \* ARABIC </w:instrText>
      </w:r>
      <w:r w:rsidRPr="003E2086">
        <w:rPr>
          <w:b/>
          <w:sz w:val="24"/>
        </w:rPr>
        <w:fldChar w:fldCharType="separate"/>
      </w:r>
      <w:r w:rsidRPr="003E2086">
        <w:rPr>
          <w:b/>
          <w:noProof/>
          <w:sz w:val="24"/>
        </w:rPr>
        <w:t>2</w:t>
      </w:r>
      <w:r w:rsidRPr="003E2086">
        <w:rPr>
          <w:b/>
          <w:sz w:val="24"/>
        </w:rPr>
        <w:fldChar w:fldCharType="end"/>
      </w:r>
      <w:r w:rsidRPr="003E2086">
        <w:rPr>
          <w:b/>
          <w:sz w:val="24"/>
        </w:rPr>
        <w:t>: Trend in suicide rate in England and Lancashire – all persons, 2001-2003 to 2013-2015</w:t>
      </w:r>
      <w:bookmarkEnd w:id="1"/>
    </w:p>
    <w:p w:rsidR="003E2086" w:rsidRPr="008C26FF" w:rsidP="003E2086">
      <w:pPr>
        <w:pStyle w:val="Normal-indent"/>
        <w:tabs>
          <w:tab w:val="left" w:pos="9356"/>
          <w:tab w:val="left" w:pos="9498"/>
        </w:tabs>
        <w:ind w:left="0" w:right="81"/>
        <w:rPr>
          <w:b/>
          <w:sz w:val="22"/>
          <w:szCs w:val="22"/>
        </w:rPr>
      </w:pPr>
      <w:r>
        <w:rPr>
          <w:b/>
          <w:noProof/>
          <w:sz w:val="22"/>
          <w:szCs w:val="22"/>
          <w:lang w:eastAsia="en-GB"/>
        </w:rPr>
        <w:drawing>
          <wp:inline distT="0" distB="0" distL="0" distR="0">
            <wp:extent cx="4857604" cy="346867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4861549" cy="3471492"/>
                    </a:xfrm>
                    <a:prstGeom prst="rect">
                      <a:avLst/>
                    </a:prstGeom>
                    <a:noFill/>
                  </pic:spPr>
                </pic:pic>
              </a:graphicData>
            </a:graphic>
          </wp:inline>
        </w:drawing>
      </w:r>
    </w:p>
    <w:p w:rsidR="003E2086" w:rsidRPr="003E0520" w:rsidP="003E2086">
      <w:pPr>
        <w:rPr>
          <w:sz w:val="16"/>
          <w:szCs w:val="16"/>
        </w:rPr>
      </w:pPr>
      <w:r w:rsidRPr="003E0520">
        <w:rPr>
          <w:sz w:val="16"/>
          <w:szCs w:val="16"/>
        </w:rPr>
        <w:t>Data source: P</w:t>
      </w:r>
      <w:r>
        <w:rPr>
          <w:sz w:val="16"/>
          <w:szCs w:val="16"/>
        </w:rPr>
        <w:t xml:space="preserve">ublic </w:t>
      </w:r>
      <w:r w:rsidRPr="003E0520">
        <w:rPr>
          <w:sz w:val="16"/>
          <w:szCs w:val="16"/>
        </w:rPr>
        <w:t>H</w:t>
      </w:r>
      <w:r>
        <w:rPr>
          <w:sz w:val="16"/>
          <w:szCs w:val="16"/>
        </w:rPr>
        <w:t xml:space="preserve">ealth </w:t>
      </w:r>
      <w:r w:rsidRPr="003E0520">
        <w:rPr>
          <w:sz w:val="16"/>
          <w:szCs w:val="16"/>
        </w:rPr>
        <w:t>E</w:t>
      </w:r>
      <w:r>
        <w:rPr>
          <w:sz w:val="16"/>
          <w:szCs w:val="16"/>
        </w:rPr>
        <w:t>ngland</w:t>
      </w:r>
      <w:r w:rsidRPr="003E0520">
        <w:rPr>
          <w:sz w:val="16"/>
          <w:szCs w:val="16"/>
        </w:rPr>
        <w:t xml:space="preserve"> Suicide Prevention Profile</w:t>
      </w:r>
      <w:r w:rsidRPr="003E0520">
        <w:rPr>
          <w:sz w:val="16"/>
          <w:szCs w:val="16"/>
        </w:rPr>
        <w:fldChar w:fldCharType="begin"/>
      </w:r>
      <w:r w:rsidRPr="003E0520">
        <w:rPr>
          <w:sz w:val="16"/>
          <w:szCs w:val="16"/>
        </w:rPr>
        <w:instrText>ADDIN RW.CITE{{768 Public Health England 2016}}</w:instrText>
      </w:r>
      <w:r w:rsidRPr="003E0520">
        <w:rPr>
          <w:sz w:val="16"/>
          <w:szCs w:val="16"/>
        </w:rPr>
        <w:fldChar w:fldCharType="separate"/>
      </w:r>
      <w:r w:rsidRPr="003E0520">
        <w:rPr>
          <w:rFonts w:eastAsia="Times New Roman"/>
          <w:sz w:val="16"/>
          <w:szCs w:val="16"/>
        </w:rPr>
        <w:t>(16)</w:t>
      </w:r>
      <w:r w:rsidRPr="003E0520">
        <w:rPr>
          <w:sz w:val="16"/>
          <w:szCs w:val="16"/>
        </w:rPr>
        <w:fldChar w:fldCharType="end"/>
      </w:r>
    </w:p>
    <w:p w:rsidR="003E2086" w:rsidRPr="003E2086" w:rsidP="003E2086">
      <w:pPr>
        <w:pStyle w:val="Normal-indent"/>
        <w:tabs>
          <w:tab w:val="left" w:pos="9356"/>
          <w:tab w:val="left" w:pos="9498"/>
        </w:tabs>
        <w:ind w:left="0" w:right="81"/>
        <w:rPr>
          <w:rFonts w:asciiTheme="minorHAnsi" w:hAnsiTheme="minorHAnsi"/>
          <w:b/>
          <w:szCs w:val="22"/>
        </w:rPr>
      </w:pPr>
      <w:bookmarkStart w:id="2" w:name="_Toc483899698"/>
      <w:r w:rsidRPr="003E2086">
        <w:rPr>
          <w:rFonts w:asciiTheme="minorHAnsi" w:hAnsiTheme="minorHAnsi"/>
          <w:b/>
          <w:szCs w:val="22"/>
        </w:rPr>
        <w:t xml:space="preserve">Figure </w:t>
      </w:r>
      <w:r w:rsidRPr="003E2086">
        <w:rPr>
          <w:rFonts w:asciiTheme="minorHAnsi" w:hAnsiTheme="minorHAnsi"/>
          <w:b/>
          <w:szCs w:val="22"/>
        </w:rPr>
        <w:fldChar w:fldCharType="begin"/>
      </w:r>
      <w:r w:rsidRPr="003E2086">
        <w:rPr>
          <w:rFonts w:asciiTheme="minorHAnsi" w:hAnsiTheme="minorHAnsi"/>
          <w:b/>
          <w:szCs w:val="22"/>
        </w:rPr>
        <w:instrText xml:space="preserve"> SEQ Figure \* ARABIC </w:instrText>
      </w:r>
      <w:r w:rsidRPr="003E2086">
        <w:rPr>
          <w:rFonts w:asciiTheme="minorHAnsi" w:hAnsiTheme="minorHAnsi"/>
          <w:b/>
          <w:szCs w:val="22"/>
        </w:rPr>
        <w:fldChar w:fldCharType="separate"/>
      </w:r>
      <w:r w:rsidRPr="003E2086">
        <w:rPr>
          <w:rFonts w:asciiTheme="minorHAnsi" w:hAnsiTheme="minorHAnsi"/>
          <w:b/>
          <w:noProof/>
          <w:szCs w:val="22"/>
        </w:rPr>
        <w:t>3</w:t>
      </w:r>
      <w:r w:rsidRPr="003E2086">
        <w:rPr>
          <w:rFonts w:asciiTheme="minorHAnsi" w:hAnsiTheme="minorHAnsi"/>
          <w:b/>
          <w:szCs w:val="22"/>
        </w:rPr>
        <w:fldChar w:fldCharType="end"/>
      </w:r>
      <w:r w:rsidRPr="003E2086">
        <w:rPr>
          <w:rFonts w:asciiTheme="minorHAnsi" w:hAnsiTheme="minorHAnsi"/>
          <w:b/>
          <w:szCs w:val="22"/>
        </w:rPr>
        <w:t>: Trend in male and female suicide rate in England and Lancashire, 2001-2003 to 2013-2015</w:t>
      </w:r>
      <w:bookmarkEnd w:id="2"/>
    </w:p>
    <w:p w:rsidR="003E2086" w:rsidRPr="00F30D2B" w:rsidP="003E2086">
      <w:pPr>
        <w:pStyle w:val="Normal-indent"/>
        <w:tabs>
          <w:tab w:val="left" w:pos="9356"/>
          <w:tab w:val="left" w:pos="9498"/>
        </w:tabs>
        <w:ind w:left="0" w:right="81"/>
        <w:rPr>
          <w:b/>
          <w:sz w:val="22"/>
          <w:szCs w:val="22"/>
        </w:rPr>
      </w:pPr>
      <w:r>
        <w:rPr>
          <w:b/>
          <w:noProof/>
          <w:sz w:val="22"/>
          <w:szCs w:val="22"/>
          <w:lang w:eastAsia="en-GB"/>
        </w:rPr>
        <w:drawing>
          <wp:inline distT="0" distB="0" distL="0" distR="0">
            <wp:extent cx="4526658" cy="3358253"/>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4531976" cy="3362198"/>
                    </a:xfrm>
                    <a:prstGeom prst="rect">
                      <a:avLst/>
                    </a:prstGeom>
                    <a:noFill/>
                  </pic:spPr>
                </pic:pic>
              </a:graphicData>
            </a:graphic>
          </wp:inline>
        </w:drawing>
      </w:r>
    </w:p>
    <w:p w:rsidR="004C26EF" w:rsidP="004C26EF">
      <w:pPr>
        <w:rPr>
          <w:sz w:val="18"/>
          <w:szCs w:val="18"/>
        </w:rPr>
      </w:pPr>
      <w:r w:rsidRPr="00AB06F9">
        <w:rPr>
          <w:sz w:val="18"/>
          <w:szCs w:val="18"/>
        </w:rPr>
        <w:t>Data source: P</w:t>
      </w:r>
      <w:r>
        <w:rPr>
          <w:sz w:val="18"/>
          <w:szCs w:val="18"/>
        </w:rPr>
        <w:t xml:space="preserve">ublic </w:t>
      </w:r>
      <w:r w:rsidRPr="00AB06F9">
        <w:rPr>
          <w:sz w:val="18"/>
          <w:szCs w:val="18"/>
        </w:rPr>
        <w:t>H</w:t>
      </w:r>
      <w:r>
        <w:rPr>
          <w:sz w:val="18"/>
          <w:szCs w:val="18"/>
        </w:rPr>
        <w:t xml:space="preserve">ealth </w:t>
      </w:r>
      <w:r w:rsidRPr="00AB06F9">
        <w:rPr>
          <w:sz w:val="18"/>
          <w:szCs w:val="18"/>
        </w:rPr>
        <w:t>E</w:t>
      </w:r>
      <w:r>
        <w:rPr>
          <w:sz w:val="18"/>
          <w:szCs w:val="18"/>
        </w:rPr>
        <w:t>ngland</w:t>
      </w:r>
      <w:r w:rsidRPr="00AB06F9">
        <w:rPr>
          <w:sz w:val="18"/>
          <w:szCs w:val="18"/>
        </w:rPr>
        <w:t xml:space="preserve"> Suicide Prevention Profile</w:t>
      </w:r>
      <w:r w:rsidRPr="00AB06F9">
        <w:rPr>
          <w:sz w:val="18"/>
          <w:szCs w:val="18"/>
        </w:rPr>
        <w:fldChar w:fldCharType="begin"/>
      </w:r>
      <w:r w:rsidRPr="00AB06F9">
        <w:rPr>
          <w:sz w:val="18"/>
          <w:szCs w:val="18"/>
        </w:rPr>
        <w:instrText>ADDIN RW.CITE{{768 Public Health England 2016}}</w:instrText>
      </w:r>
      <w:r w:rsidRPr="00AB06F9">
        <w:rPr>
          <w:sz w:val="18"/>
          <w:szCs w:val="18"/>
        </w:rPr>
        <w:fldChar w:fldCharType="separate"/>
      </w:r>
      <w:r w:rsidRPr="00AB06F9">
        <w:rPr>
          <w:rFonts w:eastAsia="Times New Roman"/>
          <w:sz w:val="18"/>
          <w:szCs w:val="18"/>
        </w:rPr>
        <w:t>(16)</w:t>
      </w:r>
      <w:r w:rsidRPr="00AB06F9">
        <w:rPr>
          <w:sz w:val="18"/>
          <w:szCs w:val="18"/>
        </w:rPr>
        <w:fldChar w:fldCharType="end"/>
      </w:r>
      <w:bookmarkStart w:id="3" w:name="_Toc483899631"/>
    </w:p>
    <w:p w:rsidR="003E2086" w:rsidRPr="004C26EF" w:rsidP="004C26EF">
      <w:pPr>
        <w:rPr>
          <w:i/>
          <w:sz w:val="18"/>
          <w:szCs w:val="18"/>
        </w:rPr>
      </w:pPr>
      <w:r w:rsidRPr="004C26EF">
        <w:rPr>
          <w:i/>
          <w:sz w:val="24"/>
          <w:szCs w:val="24"/>
        </w:rPr>
        <w:t>The districts of Lancashire County Council</w:t>
      </w:r>
      <w:bookmarkEnd w:id="3"/>
    </w:p>
    <w:p w:rsidR="003E2086" w:rsidRPr="003E2086" w:rsidP="003E2086">
      <w:pPr>
        <w:pStyle w:val="Default"/>
        <w:tabs>
          <w:tab w:val="left" w:pos="9498"/>
        </w:tabs>
        <w:ind w:right="81"/>
        <w:jc w:val="left"/>
        <w:rPr>
          <w:rFonts w:eastAsia="Times New Roman" w:asciiTheme="minorHAnsi" w:hAnsiTheme="minorHAnsi"/>
          <w:color w:val="auto"/>
        </w:rPr>
      </w:pPr>
      <w:r w:rsidRPr="003E2086">
        <w:rPr>
          <w:rFonts w:eastAsia="Times New Roman" w:asciiTheme="minorHAnsi" w:hAnsiTheme="minorHAnsi"/>
          <w:color w:val="auto"/>
        </w:rPr>
        <w:t xml:space="preserve">As </w:t>
      </w:r>
      <w:r w:rsidRPr="003E2086">
        <w:rPr>
          <w:rFonts w:eastAsia="Times New Roman" w:asciiTheme="minorHAnsi" w:hAnsiTheme="minorHAnsi"/>
          <w:color w:val="auto"/>
        </w:rPr>
        <w:t>can be seen from Table 1 and Map 1, although the rate for Lancashire as a whole is above the national average, the only two districts where suicide rates in recent years have been above those of England are Preston and Hyndburn. Of these, it is only Presto</w:t>
      </w:r>
      <w:r w:rsidRPr="003E2086">
        <w:rPr>
          <w:rFonts w:eastAsia="Times New Roman" w:asciiTheme="minorHAnsi" w:hAnsiTheme="minorHAnsi"/>
          <w:color w:val="auto"/>
        </w:rPr>
        <w:t xml:space="preserve">n where the rate is persistently significantly higher than the national average. </w:t>
      </w:r>
    </w:p>
    <w:p w:rsidR="003E2086" w:rsidRPr="00014D3B" w:rsidP="003E2086">
      <w:pPr>
        <w:pStyle w:val="Default"/>
        <w:tabs>
          <w:tab w:val="left" w:pos="9356"/>
          <w:tab w:val="left" w:pos="9498"/>
        </w:tabs>
        <w:ind w:right="81"/>
        <w:jc w:val="left"/>
        <w:rPr>
          <w:rFonts w:eastAsia="Times New Roman"/>
          <w:color w:val="auto"/>
          <w:sz w:val="22"/>
          <w:szCs w:val="22"/>
        </w:rPr>
      </w:pPr>
    </w:p>
    <w:p w:rsidR="003E2086" w:rsidRPr="00C77B4F" w:rsidP="003E2086">
      <w:pPr>
        <w:pStyle w:val="TableTitle"/>
        <w:ind w:right="81"/>
        <w:rPr>
          <w:rFonts w:asciiTheme="minorHAnsi" w:hAnsiTheme="minorHAnsi" w:cs="Arial"/>
          <w:sz w:val="24"/>
          <w:szCs w:val="22"/>
        </w:rPr>
      </w:pPr>
      <w:bookmarkStart w:id="4" w:name="_Toc483899678"/>
      <w:r w:rsidRPr="00C77B4F">
        <w:rPr>
          <w:rFonts w:asciiTheme="minorHAnsi" w:hAnsiTheme="minorHAnsi" w:cs="Arial"/>
          <w:color w:val="auto"/>
          <w:sz w:val="24"/>
          <w:szCs w:val="22"/>
        </w:rPr>
        <w:t xml:space="preserve">Table </w:t>
      </w:r>
      <w:r w:rsidRPr="00C77B4F">
        <w:rPr>
          <w:rFonts w:asciiTheme="minorHAnsi" w:hAnsiTheme="minorHAnsi" w:cs="Arial"/>
          <w:color w:val="auto"/>
          <w:sz w:val="24"/>
          <w:szCs w:val="22"/>
        </w:rPr>
        <w:fldChar w:fldCharType="begin"/>
      </w:r>
      <w:r w:rsidRPr="00C77B4F">
        <w:rPr>
          <w:rFonts w:asciiTheme="minorHAnsi" w:hAnsiTheme="minorHAnsi" w:cs="Arial"/>
          <w:color w:val="auto"/>
          <w:sz w:val="24"/>
          <w:szCs w:val="22"/>
        </w:rPr>
        <w:instrText xml:space="preserve"> SEQ Table \* ARABIC </w:instrText>
      </w:r>
      <w:r w:rsidRPr="00C77B4F">
        <w:rPr>
          <w:rFonts w:asciiTheme="minorHAnsi" w:hAnsiTheme="minorHAnsi" w:cs="Arial"/>
          <w:color w:val="auto"/>
          <w:sz w:val="24"/>
          <w:szCs w:val="22"/>
        </w:rPr>
        <w:fldChar w:fldCharType="separate"/>
      </w:r>
      <w:r w:rsidRPr="00C77B4F">
        <w:rPr>
          <w:rFonts w:asciiTheme="minorHAnsi" w:hAnsiTheme="minorHAnsi" w:cs="Arial"/>
          <w:noProof/>
          <w:color w:val="auto"/>
          <w:sz w:val="24"/>
          <w:szCs w:val="22"/>
        </w:rPr>
        <w:t>1</w:t>
      </w:r>
      <w:r w:rsidRPr="00C77B4F">
        <w:rPr>
          <w:rFonts w:asciiTheme="minorHAnsi" w:hAnsiTheme="minorHAnsi" w:cs="Arial"/>
          <w:color w:val="auto"/>
          <w:sz w:val="24"/>
          <w:szCs w:val="22"/>
        </w:rPr>
        <w:fldChar w:fldCharType="end"/>
      </w:r>
      <w:r w:rsidRPr="00C77B4F">
        <w:rPr>
          <w:rFonts w:asciiTheme="minorHAnsi" w:hAnsiTheme="minorHAnsi" w:cs="Arial"/>
          <w:color w:val="auto"/>
          <w:sz w:val="24"/>
          <w:szCs w:val="22"/>
        </w:rPr>
        <w:t>:</w:t>
      </w:r>
      <w:r w:rsidRPr="00C77B4F">
        <w:rPr>
          <w:rFonts w:asciiTheme="minorHAnsi" w:hAnsiTheme="minorHAnsi" w:cs="Arial"/>
          <w:sz w:val="24"/>
          <w:szCs w:val="22"/>
        </w:rPr>
        <w:t xml:space="preserve"> Age-standardised mortality rate from suicide per 100,000 population, all ages, Lancashire</w:t>
      </w:r>
      <w:bookmarkEnd w:id="4"/>
    </w:p>
    <w:tbl>
      <w:tblPr>
        <w:tblW w:w="9981" w:type="dxa"/>
        <w:tblInd w:w="108" w:type="dxa"/>
        <w:tblLook w:val="04A0"/>
      </w:tblPr>
      <w:tblGrid>
        <w:gridCol w:w="1701"/>
        <w:gridCol w:w="752"/>
        <w:gridCol w:w="752"/>
        <w:gridCol w:w="752"/>
        <w:gridCol w:w="753"/>
        <w:gridCol w:w="753"/>
        <w:gridCol w:w="753"/>
        <w:gridCol w:w="753"/>
        <w:gridCol w:w="753"/>
        <w:gridCol w:w="753"/>
        <w:gridCol w:w="753"/>
        <w:gridCol w:w="753"/>
      </w:tblGrid>
      <w:tr w:rsidTr="004547C8">
        <w:tblPrEx>
          <w:tblW w:w="9981" w:type="dxa"/>
          <w:tblInd w:w="108" w:type="dxa"/>
          <w:tblLook w:val="04A0"/>
        </w:tblPrEx>
        <w:trPr>
          <w:trHeight w:val="249"/>
        </w:trPr>
        <w:tc>
          <w:tcPr>
            <w:tcW w:w="1701" w:type="dxa"/>
            <w:tcBorders>
              <w:top w:val="single" w:sz="8" w:space="0" w:color="auto"/>
              <w:left w:val="single" w:sz="8" w:space="0" w:color="auto"/>
              <w:bottom w:val="single" w:sz="4" w:space="0" w:color="auto"/>
              <w:right w:val="single" w:sz="4" w:space="0" w:color="auto"/>
            </w:tcBorders>
            <w:shd w:val="clear" w:color="auto" w:fill="D9D9D9"/>
            <w:noWrap/>
            <w:vAlign w:val="bottom"/>
            <w:hideMark/>
          </w:tcPr>
          <w:p w:rsidR="003E2086" w:rsidRPr="0030691B" w:rsidP="004547C8">
            <w:pPr>
              <w:ind w:right="81"/>
              <w:rPr>
                <w:rFonts w:eastAsia="Times New Roman" w:cs="Arial"/>
                <w:b/>
                <w:bCs/>
                <w:sz w:val="20"/>
                <w:szCs w:val="20"/>
                <w:lang w:eastAsia="en-GB"/>
              </w:rPr>
            </w:pPr>
            <w:r w:rsidRPr="0030691B">
              <w:rPr>
                <w:rFonts w:eastAsia="Times New Roman" w:cs="Arial"/>
                <w:b/>
                <w:bCs/>
                <w:sz w:val="20"/>
                <w:szCs w:val="20"/>
                <w:lang w:eastAsia="en-GB"/>
              </w:rPr>
              <w:t>Area</w:t>
            </w:r>
          </w:p>
        </w:tc>
        <w:tc>
          <w:tcPr>
            <w:tcW w:w="752" w:type="dxa"/>
            <w:tcBorders>
              <w:top w:val="single" w:sz="8" w:space="0" w:color="auto"/>
              <w:left w:val="nil"/>
              <w:bottom w:val="single" w:sz="4" w:space="0" w:color="auto"/>
              <w:right w:val="single" w:sz="4" w:space="0" w:color="auto"/>
            </w:tcBorders>
            <w:shd w:val="clear" w:color="auto" w:fill="D9D9D9"/>
            <w:noWrap/>
            <w:vAlign w:val="bottom"/>
            <w:hideMark/>
          </w:tcPr>
          <w:p w:rsidR="003E2086" w:rsidRPr="0030691B" w:rsidP="004547C8">
            <w:pPr>
              <w:ind w:right="81"/>
              <w:jc w:val="center"/>
              <w:rPr>
                <w:rFonts w:eastAsia="Times New Roman" w:cs="Arial"/>
                <w:b/>
                <w:bCs/>
                <w:sz w:val="18"/>
                <w:szCs w:val="18"/>
                <w:lang w:eastAsia="en-GB"/>
              </w:rPr>
            </w:pPr>
            <w:r w:rsidRPr="0030691B">
              <w:rPr>
                <w:rFonts w:eastAsia="Times New Roman" w:cs="Arial"/>
                <w:b/>
                <w:bCs/>
                <w:sz w:val="18"/>
                <w:szCs w:val="18"/>
                <w:lang w:eastAsia="en-GB"/>
              </w:rPr>
              <w:t>2003-05</w:t>
            </w:r>
          </w:p>
        </w:tc>
        <w:tc>
          <w:tcPr>
            <w:tcW w:w="752" w:type="dxa"/>
            <w:tcBorders>
              <w:top w:val="single" w:sz="8" w:space="0" w:color="auto"/>
              <w:left w:val="nil"/>
              <w:bottom w:val="single" w:sz="4" w:space="0" w:color="auto"/>
              <w:right w:val="single" w:sz="4" w:space="0" w:color="auto"/>
            </w:tcBorders>
            <w:shd w:val="clear" w:color="auto" w:fill="D9D9D9"/>
            <w:noWrap/>
            <w:vAlign w:val="bottom"/>
            <w:hideMark/>
          </w:tcPr>
          <w:p w:rsidR="003E2086" w:rsidRPr="0030691B" w:rsidP="004547C8">
            <w:pPr>
              <w:ind w:right="81"/>
              <w:jc w:val="center"/>
              <w:rPr>
                <w:rFonts w:eastAsia="Times New Roman" w:cs="Arial"/>
                <w:b/>
                <w:bCs/>
                <w:sz w:val="18"/>
                <w:szCs w:val="18"/>
                <w:lang w:eastAsia="en-GB"/>
              </w:rPr>
            </w:pPr>
            <w:r w:rsidRPr="0030691B">
              <w:rPr>
                <w:rFonts w:eastAsia="Times New Roman" w:cs="Arial"/>
                <w:b/>
                <w:bCs/>
                <w:sz w:val="18"/>
                <w:szCs w:val="18"/>
                <w:lang w:eastAsia="en-GB"/>
              </w:rPr>
              <w:t>2004-06</w:t>
            </w:r>
          </w:p>
        </w:tc>
        <w:tc>
          <w:tcPr>
            <w:tcW w:w="752" w:type="dxa"/>
            <w:tcBorders>
              <w:top w:val="single" w:sz="8" w:space="0" w:color="auto"/>
              <w:left w:val="nil"/>
              <w:bottom w:val="single" w:sz="4" w:space="0" w:color="auto"/>
              <w:right w:val="single" w:sz="4" w:space="0" w:color="auto"/>
            </w:tcBorders>
            <w:shd w:val="clear" w:color="auto" w:fill="D9D9D9"/>
            <w:noWrap/>
            <w:vAlign w:val="bottom"/>
            <w:hideMark/>
          </w:tcPr>
          <w:p w:rsidR="003E2086" w:rsidRPr="0030691B" w:rsidP="004547C8">
            <w:pPr>
              <w:ind w:right="81"/>
              <w:jc w:val="center"/>
              <w:rPr>
                <w:rFonts w:eastAsia="Times New Roman" w:cs="Arial"/>
                <w:b/>
                <w:bCs/>
                <w:sz w:val="18"/>
                <w:szCs w:val="18"/>
                <w:lang w:eastAsia="en-GB"/>
              </w:rPr>
            </w:pPr>
            <w:r w:rsidRPr="0030691B">
              <w:rPr>
                <w:rFonts w:eastAsia="Times New Roman" w:cs="Arial"/>
                <w:b/>
                <w:bCs/>
                <w:sz w:val="18"/>
                <w:szCs w:val="18"/>
                <w:lang w:eastAsia="en-GB"/>
              </w:rPr>
              <w:t>2005-07</w:t>
            </w:r>
          </w:p>
        </w:tc>
        <w:tc>
          <w:tcPr>
            <w:tcW w:w="753" w:type="dxa"/>
            <w:tcBorders>
              <w:top w:val="single" w:sz="8" w:space="0" w:color="auto"/>
              <w:left w:val="nil"/>
              <w:bottom w:val="single" w:sz="4" w:space="0" w:color="auto"/>
              <w:right w:val="single" w:sz="4" w:space="0" w:color="auto"/>
            </w:tcBorders>
            <w:shd w:val="clear" w:color="auto" w:fill="D9D9D9"/>
            <w:noWrap/>
            <w:vAlign w:val="bottom"/>
            <w:hideMark/>
          </w:tcPr>
          <w:p w:rsidR="003E2086" w:rsidRPr="0030691B" w:rsidP="004547C8">
            <w:pPr>
              <w:ind w:right="81"/>
              <w:jc w:val="center"/>
              <w:rPr>
                <w:rFonts w:eastAsia="Times New Roman" w:cs="Arial"/>
                <w:b/>
                <w:bCs/>
                <w:sz w:val="18"/>
                <w:szCs w:val="18"/>
                <w:lang w:eastAsia="en-GB"/>
              </w:rPr>
            </w:pPr>
            <w:r w:rsidRPr="0030691B">
              <w:rPr>
                <w:rFonts w:eastAsia="Times New Roman" w:cs="Arial"/>
                <w:b/>
                <w:bCs/>
                <w:sz w:val="18"/>
                <w:szCs w:val="18"/>
                <w:lang w:eastAsia="en-GB"/>
              </w:rPr>
              <w:t>2006-08</w:t>
            </w:r>
          </w:p>
        </w:tc>
        <w:tc>
          <w:tcPr>
            <w:tcW w:w="753" w:type="dxa"/>
            <w:tcBorders>
              <w:top w:val="single" w:sz="8" w:space="0" w:color="auto"/>
              <w:left w:val="nil"/>
              <w:bottom w:val="single" w:sz="4" w:space="0" w:color="auto"/>
              <w:right w:val="single" w:sz="4" w:space="0" w:color="auto"/>
            </w:tcBorders>
            <w:shd w:val="clear" w:color="auto" w:fill="D9D9D9"/>
            <w:noWrap/>
            <w:vAlign w:val="bottom"/>
            <w:hideMark/>
          </w:tcPr>
          <w:p w:rsidR="003E2086" w:rsidRPr="0030691B" w:rsidP="004547C8">
            <w:pPr>
              <w:ind w:right="81"/>
              <w:jc w:val="center"/>
              <w:rPr>
                <w:rFonts w:eastAsia="Times New Roman" w:cs="Arial"/>
                <w:b/>
                <w:bCs/>
                <w:sz w:val="18"/>
                <w:szCs w:val="18"/>
                <w:lang w:eastAsia="en-GB"/>
              </w:rPr>
            </w:pPr>
            <w:r w:rsidRPr="0030691B">
              <w:rPr>
                <w:rFonts w:eastAsia="Times New Roman" w:cs="Arial"/>
                <w:b/>
                <w:bCs/>
                <w:sz w:val="18"/>
                <w:szCs w:val="18"/>
                <w:lang w:eastAsia="en-GB"/>
              </w:rPr>
              <w:t>2007-09</w:t>
            </w:r>
          </w:p>
        </w:tc>
        <w:tc>
          <w:tcPr>
            <w:tcW w:w="753" w:type="dxa"/>
            <w:tcBorders>
              <w:top w:val="single" w:sz="8" w:space="0" w:color="auto"/>
              <w:left w:val="nil"/>
              <w:bottom w:val="single" w:sz="4" w:space="0" w:color="auto"/>
              <w:right w:val="single" w:sz="4" w:space="0" w:color="auto"/>
            </w:tcBorders>
            <w:shd w:val="clear" w:color="auto" w:fill="D9D9D9"/>
            <w:noWrap/>
            <w:vAlign w:val="bottom"/>
            <w:hideMark/>
          </w:tcPr>
          <w:p w:rsidR="003E2086" w:rsidRPr="0030691B" w:rsidP="004547C8">
            <w:pPr>
              <w:ind w:right="81"/>
              <w:jc w:val="center"/>
              <w:rPr>
                <w:rFonts w:eastAsia="Times New Roman" w:cs="Arial"/>
                <w:b/>
                <w:bCs/>
                <w:sz w:val="18"/>
                <w:szCs w:val="18"/>
                <w:lang w:eastAsia="en-GB"/>
              </w:rPr>
            </w:pPr>
            <w:r w:rsidRPr="0030691B">
              <w:rPr>
                <w:rFonts w:eastAsia="Times New Roman" w:cs="Arial"/>
                <w:b/>
                <w:bCs/>
                <w:sz w:val="18"/>
                <w:szCs w:val="18"/>
                <w:lang w:eastAsia="en-GB"/>
              </w:rPr>
              <w:t>2008-10</w:t>
            </w:r>
          </w:p>
        </w:tc>
        <w:tc>
          <w:tcPr>
            <w:tcW w:w="753" w:type="dxa"/>
            <w:tcBorders>
              <w:top w:val="single" w:sz="8" w:space="0" w:color="auto"/>
              <w:left w:val="nil"/>
              <w:bottom w:val="single" w:sz="4" w:space="0" w:color="auto"/>
              <w:right w:val="single" w:sz="4" w:space="0" w:color="auto"/>
            </w:tcBorders>
            <w:shd w:val="clear" w:color="auto" w:fill="D9D9D9"/>
            <w:noWrap/>
            <w:vAlign w:val="bottom"/>
            <w:hideMark/>
          </w:tcPr>
          <w:p w:rsidR="003E2086" w:rsidRPr="0030691B" w:rsidP="004547C8">
            <w:pPr>
              <w:ind w:right="81"/>
              <w:jc w:val="center"/>
              <w:rPr>
                <w:rFonts w:eastAsia="Times New Roman" w:cs="Arial"/>
                <w:b/>
                <w:bCs/>
                <w:sz w:val="18"/>
                <w:szCs w:val="18"/>
                <w:lang w:eastAsia="en-GB"/>
              </w:rPr>
            </w:pPr>
            <w:r w:rsidRPr="0030691B">
              <w:rPr>
                <w:rFonts w:eastAsia="Times New Roman" w:cs="Arial"/>
                <w:b/>
                <w:bCs/>
                <w:sz w:val="18"/>
                <w:szCs w:val="18"/>
                <w:lang w:eastAsia="en-GB"/>
              </w:rPr>
              <w:t>2009-11</w:t>
            </w:r>
          </w:p>
        </w:tc>
        <w:tc>
          <w:tcPr>
            <w:tcW w:w="753" w:type="dxa"/>
            <w:tcBorders>
              <w:top w:val="single" w:sz="8" w:space="0" w:color="auto"/>
              <w:left w:val="nil"/>
              <w:bottom w:val="single" w:sz="4" w:space="0" w:color="auto"/>
              <w:right w:val="single" w:sz="4" w:space="0" w:color="auto"/>
            </w:tcBorders>
            <w:shd w:val="clear" w:color="auto" w:fill="D9D9D9"/>
            <w:noWrap/>
            <w:vAlign w:val="bottom"/>
            <w:hideMark/>
          </w:tcPr>
          <w:p w:rsidR="003E2086" w:rsidRPr="0030691B" w:rsidP="004547C8">
            <w:pPr>
              <w:ind w:right="81"/>
              <w:jc w:val="center"/>
              <w:rPr>
                <w:rFonts w:eastAsia="Times New Roman" w:cs="Arial"/>
                <w:b/>
                <w:bCs/>
                <w:sz w:val="18"/>
                <w:szCs w:val="18"/>
                <w:lang w:eastAsia="en-GB"/>
              </w:rPr>
            </w:pPr>
            <w:r w:rsidRPr="0030691B">
              <w:rPr>
                <w:rFonts w:eastAsia="Times New Roman" w:cs="Arial"/>
                <w:b/>
                <w:bCs/>
                <w:sz w:val="18"/>
                <w:szCs w:val="18"/>
                <w:lang w:eastAsia="en-GB"/>
              </w:rPr>
              <w:t>2010-12</w:t>
            </w:r>
          </w:p>
        </w:tc>
        <w:tc>
          <w:tcPr>
            <w:tcW w:w="753" w:type="dxa"/>
            <w:tcBorders>
              <w:top w:val="single" w:sz="8" w:space="0" w:color="auto"/>
              <w:left w:val="nil"/>
              <w:bottom w:val="single" w:sz="4" w:space="0" w:color="auto"/>
              <w:right w:val="single" w:sz="4" w:space="0" w:color="auto"/>
            </w:tcBorders>
            <w:shd w:val="clear" w:color="auto" w:fill="D9D9D9"/>
            <w:noWrap/>
            <w:vAlign w:val="bottom"/>
            <w:hideMark/>
          </w:tcPr>
          <w:p w:rsidR="003E2086" w:rsidRPr="0030691B" w:rsidP="004547C8">
            <w:pPr>
              <w:ind w:right="81"/>
              <w:jc w:val="center"/>
              <w:rPr>
                <w:rFonts w:eastAsia="Times New Roman" w:cs="Arial"/>
                <w:b/>
                <w:bCs/>
                <w:sz w:val="18"/>
                <w:szCs w:val="18"/>
                <w:lang w:eastAsia="en-GB"/>
              </w:rPr>
            </w:pPr>
            <w:r w:rsidRPr="0030691B">
              <w:rPr>
                <w:rFonts w:eastAsia="Times New Roman" w:cs="Arial"/>
                <w:b/>
                <w:bCs/>
                <w:sz w:val="18"/>
                <w:szCs w:val="18"/>
                <w:lang w:eastAsia="en-GB"/>
              </w:rPr>
              <w:t>2011-13</w:t>
            </w:r>
          </w:p>
        </w:tc>
        <w:tc>
          <w:tcPr>
            <w:tcW w:w="753" w:type="dxa"/>
            <w:tcBorders>
              <w:top w:val="single" w:sz="8" w:space="0" w:color="auto"/>
              <w:left w:val="nil"/>
              <w:bottom w:val="single" w:sz="4" w:space="0" w:color="auto"/>
              <w:right w:val="single" w:sz="4" w:space="0" w:color="auto"/>
            </w:tcBorders>
            <w:shd w:val="clear" w:color="auto" w:fill="D9D9D9"/>
            <w:noWrap/>
            <w:vAlign w:val="bottom"/>
            <w:hideMark/>
          </w:tcPr>
          <w:p w:rsidR="003E2086" w:rsidRPr="0030691B" w:rsidP="004547C8">
            <w:pPr>
              <w:ind w:right="81"/>
              <w:jc w:val="center"/>
              <w:rPr>
                <w:rFonts w:eastAsia="Times New Roman" w:cs="Arial"/>
                <w:b/>
                <w:bCs/>
                <w:sz w:val="18"/>
                <w:szCs w:val="18"/>
                <w:lang w:eastAsia="en-GB"/>
              </w:rPr>
            </w:pPr>
            <w:r w:rsidRPr="0030691B">
              <w:rPr>
                <w:rFonts w:eastAsia="Times New Roman" w:cs="Arial"/>
                <w:b/>
                <w:bCs/>
                <w:sz w:val="18"/>
                <w:szCs w:val="18"/>
                <w:lang w:eastAsia="en-GB"/>
              </w:rPr>
              <w:t>2012-14</w:t>
            </w:r>
          </w:p>
        </w:tc>
        <w:tc>
          <w:tcPr>
            <w:tcW w:w="753" w:type="dxa"/>
            <w:tcBorders>
              <w:top w:val="single" w:sz="8" w:space="0" w:color="auto"/>
              <w:left w:val="nil"/>
              <w:bottom w:val="single" w:sz="4" w:space="0" w:color="auto"/>
              <w:right w:val="single" w:sz="8" w:space="0" w:color="auto"/>
            </w:tcBorders>
            <w:shd w:val="clear" w:color="auto" w:fill="D9D9D9"/>
            <w:noWrap/>
            <w:vAlign w:val="bottom"/>
            <w:hideMark/>
          </w:tcPr>
          <w:p w:rsidR="003E2086" w:rsidRPr="0030691B" w:rsidP="004547C8">
            <w:pPr>
              <w:ind w:right="81"/>
              <w:jc w:val="center"/>
              <w:rPr>
                <w:rFonts w:eastAsia="Times New Roman" w:cs="Arial"/>
                <w:b/>
                <w:bCs/>
                <w:sz w:val="18"/>
                <w:szCs w:val="18"/>
                <w:lang w:eastAsia="en-GB"/>
              </w:rPr>
            </w:pPr>
            <w:r w:rsidRPr="0030691B">
              <w:rPr>
                <w:rFonts w:eastAsia="Times New Roman" w:cs="Arial"/>
                <w:b/>
                <w:bCs/>
                <w:sz w:val="18"/>
                <w:szCs w:val="18"/>
                <w:lang w:eastAsia="en-GB"/>
              </w:rPr>
              <w:t>2013-15</w:t>
            </w:r>
          </w:p>
        </w:tc>
      </w:tr>
      <w:tr w:rsidTr="004547C8">
        <w:tblPrEx>
          <w:tblW w:w="9981" w:type="dxa"/>
          <w:tblInd w:w="108" w:type="dxa"/>
          <w:tblLook w:val="04A0"/>
        </w:tblPrEx>
        <w:trPr>
          <w:trHeight w:val="239"/>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3E2086" w:rsidRPr="0030691B" w:rsidP="004547C8">
            <w:pPr>
              <w:ind w:right="81"/>
              <w:rPr>
                <w:rFonts w:eastAsia="Times New Roman" w:cs="Arial"/>
                <w:sz w:val="20"/>
                <w:szCs w:val="20"/>
                <w:lang w:eastAsia="en-GB"/>
              </w:rPr>
            </w:pPr>
            <w:r w:rsidRPr="0030691B">
              <w:rPr>
                <w:rFonts w:eastAsia="Times New Roman" w:cs="Arial"/>
                <w:sz w:val="20"/>
                <w:szCs w:val="20"/>
                <w:lang w:eastAsia="en-GB"/>
              </w:rPr>
              <w:t>Burnley</w:t>
            </w:r>
          </w:p>
        </w:tc>
        <w:tc>
          <w:tcPr>
            <w:tcW w:w="752" w:type="dxa"/>
            <w:tcBorders>
              <w:top w:val="nil"/>
              <w:left w:val="nil"/>
              <w:bottom w:val="single" w:sz="4" w:space="0" w:color="auto"/>
              <w:right w:val="single" w:sz="4" w:space="0" w:color="auto"/>
            </w:tcBorders>
            <w:shd w:val="clear" w:color="000000" w:fill="BFBFBF"/>
            <w:noWrap/>
            <w:vAlign w:val="bottom"/>
            <w:hideMark/>
          </w:tcPr>
          <w:p w:rsidR="003E2086" w:rsidRPr="0030691B" w:rsidP="004547C8">
            <w:pPr>
              <w:ind w:right="81"/>
              <w:jc w:val="right"/>
              <w:rPr>
                <w:rFonts w:eastAsia="Times New Roman" w:cs="Arial"/>
                <w:sz w:val="18"/>
                <w:szCs w:val="18"/>
                <w:lang w:eastAsia="en-GB"/>
              </w:rPr>
            </w:pPr>
          </w:p>
        </w:tc>
        <w:tc>
          <w:tcPr>
            <w:tcW w:w="752" w:type="dxa"/>
            <w:tcBorders>
              <w:top w:val="nil"/>
              <w:left w:val="nil"/>
              <w:bottom w:val="single" w:sz="4" w:space="0" w:color="auto"/>
              <w:right w:val="single" w:sz="4" w:space="0" w:color="auto"/>
            </w:tcBorders>
            <w:shd w:val="clear" w:color="000000" w:fill="FFC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11.4</w:t>
            </w:r>
          </w:p>
        </w:tc>
        <w:tc>
          <w:tcPr>
            <w:tcW w:w="752" w:type="dxa"/>
            <w:tcBorders>
              <w:top w:val="nil"/>
              <w:left w:val="nil"/>
              <w:bottom w:val="single" w:sz="4" w:space="0" w:color="auto"/>
              <w:right w:val="single" w:sz="4" w:space="0" w:color="auto"/>
            </w:tcBorders>
            <w:shd w:val="clear" w:color="000000" w:fill="BFBFBF"/>
            <w:noWrap/>
            <w:vAlign w:val="bottom"/>
            <w:hideMark/>
          </w:tcPr>
          <w:p w:rsidR="003E2086" w:rsidRPr="0030691B" w:rsidP="004547C8">
            <w:pPr>
              <w:ind w:right="81"/>
              <w:jc w:val="right"/>
              <w:rPr>
                <w:rFonts w:eastAsia="Times New Roman" w:cs="Arial"/>
                <w:sz w:val="18"/>
                <w:szCs w:val="18"/>
                <w:lang w:eastAsia="en-GB"/>
              </w:rPr>
            </w:pPr>
          </w:p>
        </w:tc>
        <w:tc>
          <w:tcPr>
            <w:tcW w:w="753" w:type="dxa"/>
            <w:tcBorders>
              <w:top w:val="nil"/>
              <w:left w:val="nil"/>
              <w:bottom w:val="single" w:sz="4" w:space="0" w:color="auto"/>
              <w:right w:val="single" w:sz="4" w:space="0" w:color="auto"/>
            </w:tcBorders>
            <w:shd w:val="clear" w:color="000000" w:fill="FFC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10.8</w:t>
            </w:r>
          </w:p>
        </w:tc>
        <w:tc>
          <w:tcPr>
            <w:tcW w:w="753" w:type="dxa"/>
            <w:tcBorders>
              <w:top w:val="nil"/>
              <w:left w:val="nil"/>
              <w:bottom w:val="single" w:sz="4" w:space="0" w:color="auto"/>
              <w:right w:val="single" w:sz="4" w:space="0" w:color="auto"/>
            </w:tcBorders>
            <w:shd w:val="clear" w:color="000000" w:fill="FFC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12.2</w:t>
            </w:r>
          </w:p>
        </w:tc>
        <w:tc>
          <w:tcPr>
            <w:tcW w:w="753" w:type="dxa"/>
            <w:tcBorders>
              <w:top w:val="nil"/>
              <w:left w:val="nil"/>
              <w:bottom w:val="single" w:sz="4" w:space="0" w:color="auto"/>
              <w:right w:val="single" w:sz="4" w:space="0" w:color="auto"/>
            </w:tcBorders>
            <w:shd w:val="clear" w:color="000000" w:fill="FFC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10.5</w:t>
            </w:r>
          </w:p>
        </w:tc>
        <w:tc>
          <w:tcPr>
            <w:tcW w:w="753" w:type="dxa"/>
            <w:tcBorders>
              <w:top w:val="nil"/>
              <w:left w:val="nil"/>
              <w:bottom w:val="single" w:sz="4" w:space="0" w:color="auto"/>
              <w:right w:val="single" w:sz="4" w:space="0" w:color="auto"/>
            </w:tcBorders>
            <w:shd w:val="clear" w:color="000000" w:fill="BFBFBF"/>
            <w:noWrap/>
            <w:vAlign w:val="bottom"/>
            <w:hideMark/>
          </w:tcPr>
          <w:p w:rsidR="003E2086" w:rsidRPr="0030691B" w:rsidP="004547C8">
            <w:pPr>
              <w:ind w:right="81"/>
              <w:jc w:val="right"/>
              <w:rPr>
                <w:rFonts w:eastAsia="Times New Roman" w:cs="Arial"/>
                <w:sz w:val="18"/>
                <w:szCs w:val="18"/>
                <w:lang w:eastAsia="en-GB"/>
              </w:rPr>
            </w:pPr>
          </w:p>
        </w:tc>
        <w:tc>
          <w:tcPr>
            <w:tcW w:w="753" w:type="dxa"/>
            <w:tcBorders>
              <w:top w:val="nil"/>
              <w:left w:val="nil"/>
              <w:bottom w:val="single" w:sz="4" w:space="0" w:color="auto"/>
              <w:right w:val="single" w:sz="4" w:space="0" w:color="auto"/>
            </w:tcBorders>
            <w:shd w:val="clear" w:color="000000" w:fill="BFBFBF"/>
            <w:noWrap/>
            <w:vAlign w:val="bottom"/>
            <w:hideMark/>
          </w:tcPr>
          <w:p w:rsidR="003E2086" w:rsidRPr="0030691B" w:rsidP="004547C8">
            <w:pPr>
              <w:ind w:right="81"/>
              <w:jc w:val="right"/>
              <w:rPr>
                <w:rFonts w:eastAsia="Times New Roman" w:cs="Arial"/>
                <w:sz w:val="18"/>
                <w:szCs w:val="18"/>
                <w:lang w:eastAsia="en-GB"/>
              </w:rPr>
            </w:pPr>
          </w:p>
        </w:tc>
        <w:tc>
          <w:tcPr>
            <w:tcW w:w="753" w:type="dxa"/>
            <w:tcBorders>
              <w:top w:val="nil"/>
              <w:left w:val="nil"/>
              <w:bottom w:val="single" w:sz="4" w:space="0" w:color="auto"/>
              <w:right w:val="single" w:sz="4" w:space="0" w:color="auto"/>
            </w:tcBorders>
            <w:shd w:val="clear" w:color="000000" w:fill="BFBFBF"/>
            <w:noWrap/>
            <w:vAlign w:val="bottom"/>
            <w:hideMark/>
          </w:tcPr>
          <w:p w:rsidR="003E2086" w:rsidRPr="0030691B" w:rsidP="004547C8">
            <w:pPr>
              <w:ind w:right="81"/>
              <w:jc w:val="right"/>
              <w:rPr>
                <w:rFonts w:eastAsia="Times New Roman" w:cs="Arial"/>
                <w:sz w:val="18"/>
                <w:szCs w:val="18"/>
                <w:lang w:eastAsia="en-GB"/>
              </w:rPr>
            </w:pPr>
          </w:p>
        </w:tc>
        <w:tc>
          <w:tcPr>
            <w:tcW w:w="753" w:type="dxa"/>
            <w:tcBorders>
              <w:top w:val="nil"/>
              <w:left w:val="nil"/>
              <w:bottom w:val="single" w:sz="4" w:space="0" w:color="auto"/>
              <w:right w:val="single" w:sz="4" w:space="0" w:color="auto"/>
            </w:tcBorders>
            <w:shd w:val="clear" w:color="000000" w:fill="FFC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11.3</w:t>
            </w:r>
          </w:p>
        </w:tc>
        <w:tc>
          <w:tcPr>
            <w:tcW w:w="753" w:type="dxa"/>
            <w:tcBorders>
              <w:top w:val="nil"/>
              <w:left w:val="nil"/>
              <w:bottom w:val="single" w:sz="4" w:space="0" w:color="auto"/>
              <w:right w:val="single" w:sz="8" w:space="0" w:color="auto"/>
            </w:tcBorders>
            <w:shd w:val="clear" w:color="000000" w:fill="FFC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11.5</w:t>
            </w:r>
          </w:p>
        </w:tc>
      </w:tr>
      <w:tr w:rsidTr="004547C8">
        <w:tblPrEx>
          <w:tblW w:w="9981" w:type="dxa"/>
          <w:tblInd w:w="108" w:type="dxa"/>
          <w:tblLook w:val="04A0"/>
        </w:tblPrEx>
        <w:trPr>
          <w:trHeight w:val="25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3E2086" w:rsidRPr="0030691B" w:rsidP="004547C8">
            <w:pPr>
              <w:ind w:right="81"/>
              <w:rPr>
                <w:rFonts w:eastAsia="Times New Roman" w:cs="Arial"/>
                <w:sz w:val="20"/>
                <w:szCs w:val="20"/>
                <w:lang w:eastAsia="en-GB"/>
              </w:rPr>
            </w:pPr>
            <w:r w:rsidRPr="0030691B">
              <w:rPr>
                <w:rFonts w:eastAsia="Times New Roman" w:cs="Arial"/>
                <w:sz w:val="20"/>
                <w:szCs w:val="20"/>
                <w:lang w:eastAsia="en-GB"/>
              </w:rPr>
              <w:t>Chorley</w:t>
            </w:r>
          </w:p>
        </w:tc>
        <w:tc>
          <w:tcPr>
            <w:tcW w:w="752" w:type="dxa"/>
            <w:tcBorders>
              <w:top w:val="nil"/>
              <w:left w:val="nil"/>
              <w:bottom w:val="single" w:sz="4" w:space="0" w:color="auto"/>
              <w:right w:val="single" w:sz="4" w:space="0" w:color="auto"/>
            </w:tcBorders>
            <w:shd w:val="clear" w:color="000000" w:fill="BFBFBF"/>
            <w:noWrap/>
            <w:vAlign w:val="bottom"/>
            <w:hideMark/>
          </w:tcPr>
          <w:p w:rsidR="003E2086" w:rsidRPr="0030691B" w:rsidP="004547C8">
            <w:pPr>
              <w:ind w:right="81"/>
              <w:jc w:val="right"/>
              <w:rPr>
                <w:rFonts w:eastAsia="Times New Roman" w:cs="Arial"/>
                <w:sz w:val="18"/>
                <w:szCs w:val="18"/>
                <w:lang w:eastAsia="en-GB"/>
              </w:rPr>
            </w:pPr>
          </w:p>
        </w:tc>
        <w:tc>
          <w:tcPr>
            <w:tcW w:w="752" w:type="dxa"/>
            <w:tcBorders>
              <w:top w:val="nil"/>
              <w:left w:val="nil"/>
              <w:bottom w:val="single" w:sz="4" w:space="0" w:color="auto"/>
              <w:right w:val="single" w:sz="4" w:space="0" w:color="auto"/>
            </w:tcBorders>
            <w:shd w:val="clear" w:color="000000" w:fill="BFBFBF"/>
            <w:noWrap/>
            <w:vAlign w:val="bottom"/>
            <w:hideMark/>
          </w:tcPr>
          <w:p w:rsidR="003E2086" w:rsidRPr="0030691B" w:rsidP="004547C8">
            <w:pPr>
              <w:ind w:right="81"/>
              <w:jc w:val="right"/>
              <w:rPr>
                <w:rFonts w:eastAsia="Times New Roman" w:cs="Arial"/>
                <w:sz w:val="18"/>
                <w:szCs w:val="18"/>
                <w:lang w:eastAsia="en-GB"/>
              </w:rPr>
            </w:pPr>
          </w:p>
        </w:tc>
        <w:tc>
          <w:tcPr>
            <w:tcW w:w="752" w:type="dxa"/>
            <w:tcBorders>
              <w:top w:val="nil"/>
              <w:left w:val="nil"/>
              <w:bottom w:val="single" w:sz="4" w:space="0" w:color="auto"/>
              <w:right w:val="single" w:sz="4" w:space="0" w:color="auto"/>
            </w:tcBorders>
            <w:shd w:val="clear" w:color="000000" w:fill="BFBFBF"/>
            <w:noWrap/>
            <w:vAlign w:val="bottom"/>
            <w:hideMark/>
          </w:tcPr>
          <w:p w:rsidR="003E2086" w:rsidRPr="0030691B" w:rsidP="004547C8">
            <w:pPr>
              <w:ind w:right="81"/>
              <w:jc w:val="right"/>
              <w:rPr>
                <w:rFonts w:eastAsia="Times New Roman" w:cs="Arial"/>
                <w:sz w:val="18"/>
                <w:szCs w:val="18"/>
                <w:lang w:eastAsia="en-GB"/>
              </w:rPr>
            </w:pPr>
          </w:p>
        </w:tc>
        <w:tc>
          <w:tcPr>
            <w:tcW w:w="753" w:type="dxa"/>
            <w:tcBorders>
              <w:top w:val="nil"/>
              <w:left w:val="nil"/>
              <w:bottom w:val="single" w:sz="4" w:space="0" w:color="auto"/>
              <w:right w:val="single" w:sz="4" w:space="0" w:color="auto"/>
            </w:tcBorders>
            <w:shd w:val="clear" w:color="000000" w:fill="FF0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13.5</w:t>
            </w:r>
          </w:p>
        </w:tc>
        <w:tc>
          <w:tcPr>
            <w:tcW w:w="753" w:type="dxa"/>
            <w:tcBorders>
              <w:top w:val="nil"/>
              <w:left w:val="nil"/>
              <w:bottom w:val="single" w:sz="4" w:space="0" w:color="auto"/>
              <w:right w:val="single" w:sz="4" w:space="0" w:color="auto"/>
            </w:tcBorders>
            <w:shd w:val="clear" w:color="000000" w:fill="FF0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15.8</w:t>
            </w:r>
          </w:p>
        </w:tc>
        <w:tc>
          <w:tcPr>
            <w:tcW w:w="753" w:type="dxa"/>
            <w:tcBorders>
              <w:top w:val="nil"/>
              <w:left w:val="nil"/>
              <w:bottom w:val="single" w:sz="4" w:space="0" w:color="auto"/>
              <w:right w:val="single" w:sz="4" w:space="0" w:color="auto"/>
            </w:tcBorders>
            <w:shd w:val="clear" w:color="000000" w:fill="FF0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14.2</w:t>
            </w:r>
          </w:p>
        </w:tc>
        <w:tc>
          <w:tcPr>
            <w:tcW w:w="753" w:type="dxa"/>
            <w:tcBorders>
              <w:top w:val="nil"/>
              <w:left w:val="nil"/>
              <w:bottom w:val="single" w:sz="4" w:space="0" w:color="auto"/>
              <w:right w:val="single" w:sz="4" w:space="0" w:color="auto"/>
            </w:tcBorders>
            <w:shd w:val="clear" w:color="000000" w:fill="FFC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9.7</w:t>
            </w:r>
          </w:p>
        </w:tc>
        <w:tc>
          <w:tcPr>
            <w:tcW w:w="753" w:type="dxa"/>
            <w:tcBorders>
              <w:top w:val="nil"/>
              <w:left w:val="nil"/>
              <w:bottom w:val="single" w:sz="4" w:space="0" w:color="auto"/>
              <w:right w:val="single" w:sz="4" w:space="0" w:color="auto"/>
            </w:tcBorders>
            <w:shd w:val="clear" w:color="000000" w:fill="FFC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8.5</w:t>
            </w:r>
          </w:p>
        </w:tc>
        <w:tc>
          <w:tcPr>
            <w:tcW w:w="753" w:type="dxa"/>
            <w:tcBorders>
              <w:top w:val="nil"/>
              <w:left w:val="nil"/>
              <w:bottom w:val="single" w:sz="4" w:space="0" w:color="auto"/>
              <w:right w:val="single" w:sz="4" w:space="0" w:color="auto"/>
            </w:tcBorders>
            <w:shd w:val="clear" w:color="000000" w:fill="BFBFBF"/>
            <w:noWrap/>
            <w:vAlign w:val="bottom"/>
            <w:hideMark/>
          </w:tcPr>
          <w:p w:rsidR="003E2086" w:rsidRPr="0030691B" w:rsidP="004547C8">
            <w:pPr>
              <w:ind w:right="81"/>
              <w:jc w:val="right"/>
              <w:rPr>
                <w:rFonts w:eastAsia="Times New Roman" w:cs="Arial"/>
                <w:sz w:val="18"/>
                <w:szCs w:val="18"/>
                <w:lang w:eastAsia="en-GB"/>
              </w:rPr>
            </w:pPr>
          </w:p>
        </w:tc>
        <w:tc>
          <w:tcPr>
            <w:tcW w:w="753" w:type="dxa"/>
            <w:tcBorders>
              <w:top w:val="nil"/>
              <w:left w:val="nil"/>
              <w:bottom w:val="single" w:sz="4" w:space="0" w:color="auto"/>
              <w:right w:val="single" w:sz="4" w:space="0" w:color="auto"/>
            </w:tcBorders>
            <w:shd w:val="clear" w:color="000000" w:fill="BFBFBF"/>
            <w:noWrap/>
            <w:vAlign w:val="bottom"/>
            <w:hideMark/>
          </w:tcPr>
          <w:p w:rsidR="003E2086" w:rsidRPr="0030691B" w:rsidP="004547C8">
            <w:pPr>
              <w:ind w:right="81"/>
              <w:jc w:val="right"/>
              <w:rPr>
                <w:rFonts w:eastAsia="Times New Roman" w:cs="Arial"/>
                <w:sz w:val="18"/>
                <w:szCs w:val="18"/>
                <w:lang w:eastAsia="en-GB"/>
              </w:rPr>
            </w:pPr>
          </w:p>
        </w:tc>
        <w:tc>
          <w:tcPr>
            <w:tcW w:w="753" w:type="dxa"/>
            <w:tcBorders>
              <w:top w:val="nil"/>
              <w:left w:val="nil"/>
              <w:bottom w:val="single" w:sz="4" w:space="0" w:color="auto"/>
              <w:right w:val="single" w:sz="8" w:space="0" w:color="auto"/>
            </w:tcBorders>
            <w:shd w:val="clear" w:color="000000" w:fill="FFC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8.7</w:t>
            </w:r>
          </w:p>
        </w:tc>
      </w:tr>
      <w:tr w:rsidTr="004547C8">
        <w:tblPrEx>
          <w:tblW w:w="9981" w:type="dxa"/>
          <w:tblInd w:w="108" w:type="dxa"/>
          <w:tblLook w:val="04A0"/>
        </w:tblPrEx>
        <w:trPr>
          <w:trHeight w:val="25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3E2086" w:rsidRPr="0030691B" w:rsidP="004547C8">
            <w:pPr>
              <w:ind w:right="81"/>
              <w:rPr>
                <w:rFonts w:eastAsia="Times New Roman" w:cs="Arial"/>
                <w:sz w:val="20"/>
                <w:szCs w:val="20"/>
                <w:lang w:eastAsia="en-GB"/>
              </w:rPr>
            </w:pPr>
            <w:r w:rsidRPr="0030691B">
              <w:rPr>
                <w:rFonts w:eastAsia="Times New Roman" w:cs="Arial"/>
                <w:sz w:val="20"/>
                <w:szCs w:val="20"/>
                <w:lang w:eastAsia="en-GB"/>
              </w:rPr>
              <w:t>Fylde</w:t>
            </w:r>
          </w:p>
        </w:tc>
        <w:tc>
          <w:tcPr>
            <w:tcW w:w="752" w:type="dxa"/>
            <w:tcBorders>
              <w:top w:val="nil"/>
              <w:left w:val="nil"/>
              <w:bottom w:val="single" w:sz="4" w:space="0" w:color="auto"/>
              <w:right w:val="single" w:sz="4" w:space="0" w:color="auto"/>
            </w:tcBorders>
            <w:shd w:val="clear" w:color="000000" w:fill="BFBFBF"/>
            <w:noWrap/>
            <w:vAlign w:val="bottom"/>
            <w:hideMark/>
          </w:tcPr>
          <w:p w:rsidR="003E2086" w:rsidRPr="0030691B" w:rsidP="004547C8">
            <w:pPr>
              <w:ind w:right="81"/>
              <w:jc w:val="right"/>
              <w:rPr>
                <w:rFonts w:eastAsia="Times New Roman" w:cs="Arial"/>
                <w:sz w:val="18"/>
                <w:szCs w:val="18"/>
                <w:lang w:eastAsia="en-GB"/>
              </w:rPr>
            </w:pPr>
          </w:p>
        </w:tc>
        <w:tc>
          <w:tcPr>
            <w:tcW w:w="752" w:type="dxa"/>
            <w:tcBorders>
              <w:top w:val="nil"/>
              <w:left w:val="nil"/>
              <w:bottom w:val="single" w:sz="4" w:space="0" w:color="auto"/>
              <w:right w:val="single" w:sz="4" w:space="0" w:color="auto"/>
            </w:tcBorders>
            <w:shd w:val="clear" w:color="000000" w:fill="BFBFBF"/>
            <w:noWrap/>
            <w:vAlign w:val="bottom"/>
            <w:hideMark/>
          </w:tcPr>
          <w:p w:rsidR="003E2086" w:rsidRPr="0030691B" w:rsidP="004547C8">
            <w:pPr>
              <w:ind w:right="81"/>
              <w:jc w:val="right"/>
              <w:rPr>
                <w:rFonts w:eastAsia="Times New Roman" w:cs="Arial"/>
                <w:sz w:val="18"/>
                <w:szCs w:val="18"/>
                <w:lang w:eastAsia="en-GB"/>
              </w:rPr>
            </w:pPr>
          </w:p>
        </w:tc>
        <w:tc>
          <w:tcPr>
            <w:tcW w:w="752" w:type="dxa"/>
            <w:tcBorders>
              <w:top w:val="nil"/>
              <w:left w:val="nil"/>
              <w:bottom w:val="single" w:sz="4" w:space="0" w:color="auto"/>
              <w:right w:val="single" w:sz="4" w:space="0" w:color="auto"/>
            </w:tcBorders>
            <w:shd w:val="clear" w:color="000000" w:fill="BFBFBF"/>
            <w:noWrap/>
            <w:vAlign w:val="bottom"/>
            <w:hideMark/>
          </w:tcPr>
          <w:p w:rsidR="003E2086" w:rsidRPr="0030691B" w:rsidP="004547C8">
            <w:pPr>
              <w:ind w:right="81"/>
              <w:jc w:val="right"/>
              <w:rPr>
                <w:rFonts w:eastAsia="Times New Roman" w:cs="Arial"/>
                <w:sz w:val="18"/>
                <w:szCs w:val="18"/>
                <w:lang w:eastAsia="en-GB"/>
              </w:rPr>
            </w:pPr>
          </w:p>
        </w:tc>
        <w:tc>
          <w:tcPr>
            <w:tcW w:w="753" w:type="dxa"/>
            <w:tcBorders>
              <w:top w:val="nil"/>
              <w:left w:val="nil"/>
              <w:bottom w:val="single" w:sz="4" w:space="0" w:color="auto"/>
              <w:right w:val="single" w:sz="4" w:space="0" w:color="auto"/>
            </w:tcBorders>
            <w:shd w:val="clear" w:color="000000" w:fill="BFBFBF"/>
            <w:noWrap/>
            <w:vAlign w:val="bottom"/>
            <w:hideMark/>
          </w:tcPr>
          <w:p w:rsidR="003E2086" w:rsidRPr="0030691B" w:rsidP="004547C8">
            <w:pPr>
              <w:ind w:right="81"/>
              <w:jc w:val="right"/>
              <w:rPr>
                <w:rFonts w:eastAsia="Times New Roman" w:cs="Arial"/>
                <w:sz w:val="18"/>
                <w:szCs w:val="18"/>
                <w:lang w:eastAsia="en-GB"/>
              </w:rPr>
            </w:pPr>
          </w:p>
        </w:tc>
        <w:tc>
          <w:tcPr>
            <w:tcW w:w="753" w:type="dxa"/>
            <w:tcBorders>
              <w:top w:val="nil"/>
              <w:left w:val="nil"/>
              <w:bottom w:val="single" w:sz="4" w:space="0" w:color="auto"/>
              <w:right w:val="single" w:sz="4" w:space="0" w:color="auto"/>
            </w:tcBorders>
            <w:shd w:val="clear" w:color="000000" w:fill="BFBFBF"/>
            <w:noWrap/>
            <w:vAlign w:val="bottom"/>
            <w:hideMark/>
          </w:tcPr>
          <w:p w:rsidR="003E2086" w:rsidRPr="0030691B" w:rsidP="004547C8">
            <w:pPr>
              <w:ind w:right="81"/>
              <w:jc w:val="right"/>
              <w:rPr>
                <w:rFonts w:eastAsia="Times New Roman" w:cs="Arial"/>
                <w:sz w:val="18"/>
                <w:szCs w:val="18"/>
                <w:lang w:eastAsia="en-GB"/>
              </w:rPr>
            </w:pPr>
          </w:p>
        </w:tc>
        <w:tc>
          <w:tcPr>
            <w:tcW w:w="753" w:type="dxa"/>
            <w:tcBorders>
              <w:top w:val="nil"/>
              <w:left w:val="nil"/>
              <w:bottom w:val="single" w:sz="4" w:space="0" w:color="auto"/>
              <w:right w:val="single" w:sz="4" w:space="0" w:color="auto"/>
            </w:tcBorders>
            <w:shd w:val="clear" w:color="000000" w:fill="BFBFBF"/>
            <w:noWrap/>
            <w:vAlign w:val="bottom"/>
            <w:hideMark/>
          </w:tcPr>
          <w:p w:rsidR="003E2086" w:rsidRPr="0030691B" w:rsidP="004547C8">
            <w:pPr>
              <w:ind w:right="81"/>
              <w:jc w:val="right"/>
              <w:rPr>
                <w:rFonts w:eastAsia="Times New Roman" w:cs="Arial"/>
                <w:sz w:val="18"/>
                <w:szCs w:val="18"/>
                <w:lang w:eastAsia="en-GB"/>
              </w:rPr>
            </w:pPr>
          </w:p>
        </w:tc>
        <w:tc>
          <w:tcPr>
            <w:tcW w:w="753" w:type="dxa"/>
            <w:tcBorders>
              <w:top w:val="nil"/>
              <w:left w:val="nil"/>
              <w:bottom w:val="single" w:sz="4" w:space="0" w:color="auto"/>
              <w:right w:val="single" w:sz="4" w:space="0" w:color="auto"/>
            </w:tcBorders>
            <w:shd w:val="clear" w:color="000000" w:fill="BFBFBF"/>
            <w:noWrap/>
            <w:vAlign w:val="bottom"/>
            <w:hideMark/>
          </w:tcPr>
          <w:p w:rsidR="003E2086" w:rsidRPr="0030691B" w:rsidP="004547C8">
            <w:pPr>
              <w:ind w:right="81"/>
              <w:jc w:val="right"/>
              <w:rPr>
                <w:rFonts w:eastAsia="Times New Roman" w:cs="Arial"/>
                <w:sz w:val="18"/>
                <w:szCs w:val="18"/>
                <w:lang w:eastAsia="en-GB"/>
              </w:rPr>
            </w:pPr>
          </w:p>
        </w:tc>
        <w:tc>
          <w:tcPr>
            <w:tcW w:w="753" w:type="dxa"/>
            <w:tcBorders>
              <w:top w:val="nil"/>
              <w:left w:val="nil"/>
              <w:bottom w:val="single" w:sz="4" w:space="0" w:color="auto"/>
              <w:right w:val="single" w:sz="4" w:space="0" w:color="auto"/>
            </w:tcBorders>
            <w:shd w:val="clear" w:color="000000" w:fill="BFBFBF"/>
            <w:noWrap/>
            <w:vAlign w:val="bottom"/>
            <w:hideMark/>
          </w:tcPr>
          <w:p w:rsidR="003E2086" w:rsidRPr="0030691B" w:rsidP="004547C8">
            <w:pPr>
              <w:ind w:right="81"/>
              <w:jc w:val="right"/>
              <w:rPr>
                <w:rFonts w:eastAsia="Times New Roman" w:cs="Arial"/>
                <w:sz w:val="18"/>
                <w:szCs w:val="18"/>
                <w:lang w:eastAsia="en-GB"/>
              </w:rPr>
            </w:pPr>
          </w:p>
        </w:tc>
        <w:tc>
          <w:tcPr>
            <w:tcW w:w="753" w:type="dxa"/>
            <w:tcBorders>
              <w:top w:val="nil"/>
              <w:left w:val="nil"/>
              <w:bottom w:val="single" w:sz="4" w:space="0" w:color="auto"/>
              <w:right w:val="single" w:sz="4" w:space="0" w:color="auto"/>
            </w:tcBorders>
            <w:shd w:val="clear" w:color="000000" w:fill="BFBFBF"/>
            <w:noWrap/>
            <w:vAlign w:val="bottom"/>
            <w:hideMark/>
          </w:tcPr>
          <w:p w:rsidR="003E2086" w:rsidRPr="0030691B" w:rsidP="004547C8">
            <w:pPr>
              <w:ind w:right="81"/>
              <w:jc w:val="right"/>
              <w:rPr>
                <w:rFonts w:eastAsia="Times New Roman" w:cs="Arial"/>
                <w:sz w:val="18"/>
                <w:szCs w:val="18"/>
                <w:lang w:eastAsia="en-GB"/>
              </w:rPr>
            </w:pPr>
          </w:p>
        </w:tc>
        <w:tc>
          <w:tcPr>
            <w:tcW w:w="753" w:type="dxa"/>
            <w:tcBorders>
              <w:top w:val="nil"/>
              <w:left w:val="nil"/>
              <w:bottom w:val="single" w:sz="4" w:space="0" w:color="auto"/>
              <w:right w:val="single" w:sz="4" w:space="0" w:color="auto"/>
            </w:tcBorders>
            <w:shd w:val="clear" w:color="000000" w:fill="FFC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11.8</w:t>
            </w:r>
          </w:p>
        </w:tc>
        <w:tc>
          <w:tcPr>
            <w:tcW w:w="753" w:type="dxa"/>
            <w:tcBorders>
              <w:top w:val="nil"/>
              <w:left w:val="nil"/>
              <w:bottom w:val="single" w:sz="4" w:space="0" w:color="auto"/>
              <w:right w:val="single" w:sz="8" w:space="0" w:color="auto"/>
            </w:tcBorders>
            <w:shd w:val="clear" w:color="000000" w:fill="FFC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11.7</w:t>
            </w:r>
          </w:p>
        </w:tc>
      </w:tr>
      <w:tr w:rsidTr="004547C8">
        <w:tblPrEx>
          <w:tblW w:w="9981" w:type="dxa"/>
          <w:tblInd w:w="108" w:type="dxa"/>
          <w:tblLook w:val="04A0"/>
        </w:tblPrEx>
        <w:trPr>
          <w:trHeight w:val="25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3E2086" w:rsidRPr="0030691B" w:rsidP="004547C8">
            <w:pPr>
              <w:ind w:right="81"/>
              <w:rPr>
                <w:rFonts w:eastAsia="Times New Roman" w:cs="Arial"/>
                <w:sz w:val="20"/>
                <w:szCs w:val="20"/>
                <w:lang w:eastAsia="en-GB"/>
              </w:rPr>
            </w:pPr>
            <w:r w:rsidRPr="0030691B">
              <w:rPr>
                <w:rFonts w:eastAsia="Times New Roman" w:cs="Arial"/>
                <w:sz w:val="20"/>
                <w:szCs w:val="20"/>
                <w:lang w:eastAsia="en-GB"/>
              </w:rPr>
              <w:t>Hyndburn</w:t>
            </w:r>
          </w:p>
        </w:tc>
        <w:tc>
          <w:tcPr>
            <w:tcW w:w="752" w:type="dxa"/>
            <w:tcBorders>
              <w:top w:val="nil"/>
              <w:left w:val="nil"/>
              <w:bottom w:val="single" w:sz="4" w:space="0" w:color="auto"/>
              <w:right w:val="single" w:sz="4" w:space="0" w:color="auto"/>
            </w:tcBorders>
            <w:shd w:val="clear" w:color="000000" w:fill="BFBFBF"/>
            <w:noWrap/>
            <w:vAlign w:val="bottom"/>
            <w:hideMark/>
          </w:tcPr>
          <w:p w:rsidR="003E2086" w:rsidRPr="0030691B" w:rsidP="004547C8">
            <w:pPr>
              <w:ind w:right="81"/>
              <w:jc w:val="right"/>
              <w:rPr>
                <w:rFonts w:eastAsia="Times New Roman" w:cs="Arial"/>
                <w:sz w:val="18"/>
                <w:szCs w:val="18"/>
                <w:lang w:eastAsia="en-GB"/>
              </w:rPr>
            </w:pPr>
          </w:p>
        </w:tc>
        <w:tc>
          <w:tcPr>
            <w:tcW w:w="752" w:type="dxa"/>
            <w:tcBorders>
              <w:top w:val="nil"/>
              <w:left w:val="nil"/>
              <w:bottom w:val="single" w:sz="4" w:space="0" w:color="auto"/>
              <w:right w:val="single" w:sz="4" w:space="0" w:color="auto"/>
            </w:tcBorders>
            <w:shd w:val="clear" w:color="000000" w:fill="BFBFBF"/>
            <w:noWrap/>
            <w:vAlign w:val="bottom"/>
            <w:hideMark/>
          </w:tcPr>
          <w:p w:rsidR="003E2086" w:rsidRPr="0030691B" w:rsidP="004547C8">
            <w:pPr>
              <w:ind w:right="81"/>
              <w:jc w:val="right"/>
              <w:rPr>
                <w:rFonts w:eastAsia="Times New Roman" w:cs="Arial"/>
                <w:sz w:val="18"/>
                <w:szCs w:val="18"/>
                <w:lang w:eastAsia="en-GB"/>
              </w:rPr>
            </w:pPr>
          </w:p>
        </w:tc>
        <w:tc>
          <w:tcPr>
            <w:tcW w:w="752" w:type="dxa"/>
            <w:tcBorders>
              <w:top w:val="nil"/>
              <w:left w:val="nil"/>
              <w:bottom w:val="single" w:sz="4" w:space="0" w:color="auto"/>
              <w:right w:val="single" w:sz="4" w:space="0" w:color="auto"/>
            </w:tcBorders>
            <w:shd w:val="clear" w:color="000000" w:fill="BFBFBF"/>
            <w:noWrap/>
            <w:vAlign w:val="bottom"/>
            <w:hideMark/>
          </w:tcPr>
          <w:p w:rsidR="003E2086" w:rsidRPr="0030691B" w:rsidP="004547C8">
            <w:pPr>
              <w:ind w:right="81"/>
              <w:jc w:val="right"/>
              <w:rPr>
                <w:rFonts w:eastAsia="Times New Roman" w:cs="Arial"/>
                <w:sz w:val="18"/>
                <w:szCs w:val="18"/>
                <w:lang w:eastAsia="en-GB"/>
              </w:rPr>
            </w:pPr>
          </w:p>
        </w:tc>
        <w:tc>
          <w:tcPr>
            <w:tcW w:w="753" w:type="dxa"/>
            <w:tcBorders>
              <w:top w:val="nil"/>
              <w:left w:val="nil"/>
              <w:bottom w:val="single" w:sz="4" w:space="0" w:color="auto"/>
              <w:right w:val="single" w:sz="4" w:space="0" w:color="auto"/>
            </w:tcBorders>
            <w:shd w:val="clear" w:color="000000" w:fill="BFBFBF"/>
            <w:noWrap/>
            <w:vAlign w:val="bottom"/>
            <w:hideMark/>
          </w:tcPr>
          <w:p w:rsidR="003E2086" w:rsidRPr="0030691B" w:rsidP="004547C8">
            <w:pPr>
              <w:ind w:right="81"/>
              <w:jc w:val="right"/>
              <w:rPr>
                <w:rFonts w:eastAsia="Times New Roman" w:cs="Arial"/>
                <w:sz w:val="18"/>
                <w:szCs w:val="18"/>
                <w:lang w:eastAsia="en-GB"/>
              </w:rPr>
            </w:pPr>
          </w:p>
        </w:tc>
        <w:tc>
          <w:tcPr>
            <w:tcW w:w="753" w:type="dxa"/>
            <w:tcBorders>
              <w:top w:val="nil"/>
              <w:left w:val="nil"/>
              <w:bottom w:val="single" w:sz="4" w:space="0" w:color="auto"/>
              <w:right w:val="single" w:sz="4" w:space="0" w:color="auto"/>
            </w:tcBorders>
            <w:shd w:val="clear" w:color="000000" w:fill="FFC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12.0</w:t>
            </w:r>
          </w:p>
        </w:tc>
        <w:tc>
          <w:tcPr>
            <w:tcW w:w="753" w:type="dxa"/>
            <w:tcBorders>
              <w:top w:val="nil"/>
              <w:left w:val="nil"/>
              <w:bottom w:val="single" w:sz="4" w:space="0" w:color="auto"/>
              <w:right w:val="single" w:sz="4" w:space="0" w:color="auto"/>
            </w:tcBorders>
            <w:shd w:val="clear" w:color="000000" w:fill="BFBFBF"/>
            <w:noWrap/>
            <w:vAlign w:val="bottom"/>
            <w:hideMark/>
          </w:tcPr>
          <w:p w:rsidR="003E2086" w:rsidRPr="0030691B" w:rsidP="004547C8">
            <w:pPr>
              <w:ind w:right="81"/>
              <w:jc w:val="right"/>
              <w:rPr>
                <w:rFonts w:eastAsia="Times New Roman" w:cs="Arial"/>
                <w:sz w:val="18"/>
                <w:szCs w:val="18"/>
                <w:lang w:eastAsia="en-GB"/>
              </w:rPr>
            </w:pPr>
          </w:p>
        </w:tc>
        <w:tc>
          <w:tcPr>
            <w:tcW w:w="753" w:type="dxa"/>
            <w:tcBorders>
              <w:top w:val="nil"/>
              <w:left w:val="nil"/>
              <w:bottom w:val="single" w:sz="4" w:space="0" w:color="auto"/>
              <w:right w:val="single" w:sz="4" w:space="0" w:color="auto"/>
            </w:tcBorders>
            <w:shd w:val="clear" w:color="000000" w:fill="FFC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12.7</w:t>
            </w:r>
          </w:p>
        </w:tc>
        <w:tc>
          <w:tcPr>
            <w:tcW w:w="753" w:type="dxa"/>
            <w:tcBorders>
              <w:top w:val="nil"/>
              <w:left w:val="nil"/>
              <w:bottom w:val="single" w:sz="4" w:space="0" w:color="auto"/>
              <w:right w:val="single" w:sz="4" w:space="0" w:color="auto"/>
            </w:tcBorders>
            <w:shd w:val="clear" w:color="000000" w:fill="FF0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14.6</w:t>
            </w:r>
          </w:p>
        </w:tc>
        <w:tc>
          <w:tcPr>
            <w:tcW w:w="753" w:type="dxa"/>
            <w:tcBorders>
              <w:top w:val="nil"/>
              <w:left w:val="nil"/>
              <w:bottom w:val="single" w:sz="4" w:space="0" w:color="auto"/>
              <w:right w:val="single" w:sz="4" w:space="0" w:color="auto"/>
            </w:tcBorders>
            <w:shd w:val="clear" w:color="000000" w:fill="FFC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14.5</w:t>
            </w:r>
          </w:p>
        </w:tc>
        <w:tc>
          <w:tcPr>
            <w:tcW w:w="753" w:type="dxa"/>
            <w:tcBorders>
              <w:top w:val="nil"/>
              <w:left w:val="nil"/>
              <w:bottom w:val="single" w:sz="4" w:space="0" w:color="auto"/>
              <w:right w:val="single" w:sz="4" w:space="0" w:color="auto"/>
            </w:tcBorders>
            <w:shd w:val="clear" w:color="000000" w:fill="FF0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16.3</w:t>
            </w:r>
          </w:p>
        </w:tc>
        <w:tc>
          <w:tcPr>
            <w:tcW w:w="753" w:type="dxa"/>
            <w:tcBorders>
              <w:top w:val="nil"/>
              <w:left w:val="nil"/>
              <w:bottom w:val="single" w:sz="4" w:space="0" w:color="auto"/>
              <w:right w:val="single" w:sz="8" w:space="0" w:color="auto"/>
            </w:tcBorders>
            <w:shd w:val="clear" w:color="000000" w:fill="FFC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13.7</w:t>
            </w:r>
          </w:p>
        </w:tc>
      </w:tr>
      <w:tr w:rsidTr="004547C8">
        <w:tblPrEx>
          <w:tblW w:w="9981" w:type="dxa"/>
          <w:tblInd w:w="108" w:type="dxa"/>
          <w:tblLook w:val="04A0"/>
        </w:tblPrEx>
        <w:trPr>
          <w:trHeight w:val="25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3E2086" w:rsidRPr="0030691B" w:rsidP="004547C8">
            <w:pPr>
              <w:ind w:right="81"/>
              <w:rPr>
                <w:rFonts w:eastAsia="Times New Roman" w:cs="Arial"/>
                <w:sz w:val="20"/>
                <w:szCs w:val="20"/>
                <w:lang w:eastAsia="en-GB"/>
              </w:rPr>
            </w:pPr>
            <w:r w:rsidRPr="0030691B">
              <w:rPr>
                <w:rFonts w:eastAsia="Times New Roman" w:cs="Arial"/>
                <w:sz w:val="20"/>
                <w:szCs w:val="20"/>
                <w:lang w:eastAsia="en-GB"/>
              </w:rPr>
              <w:t>Lancaster</w:t>
            </w:r>
          </w:p>
        </w:tc>
        <w:tc>
          <w:tcPr>
            <w:tcW w:w="752" w:type="dxa"/>
            <w:tcBorders>
              <w:top w:val="nil"/>
              <w:left w:val="nil"/>
              <w:bottom w:val="single" w:sz="4" w:space="0" w:color="auto"/>
              <w:right w:val="single" w:sz="4" w:space="0" w:color="auto"/>
            </w:tcBorders>
            <w:shd w:val="clear" w:color="000000" w:fill="FFC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9.2</w:t>
            </w:r>
          </w:p>
        </w:tc>
        <w:tc>
          <w:tcPr>
            <w:tcW w:w="752" w:type="dxa"/>
            <w:tcBorders>
              <w:top w:val="nil"/>
              <w:left w:val="nil"/>
              <w:bottom w:val="single" w:sz="4" w:space="0" w:color="auto"/>
              <w:right w:val="single" w:sz="4" w:space="0" w:color="auto"/>
            </w:tcBorders>
            <w:shd w:val="clear" w:color="000000" w:fill="FFC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7.8</w:t>
            </w:r>
          </w:p>
        </w:tc>
        <w:tc>
          <w:tcPr>
            <w:tcW w:w="752" w:type="dxa"/>
            <w:tcBorders>
              <w:top w:val="nil"/>
              <w:left w:val="nil"/>
              <w:bottom w:val="single" w:sz="4" w:space="0" w:color="auto"/>
              <w:right w:val="single" w:sz="4" w:space="0" w:color="auto"/>
            </w:tcBorders>
            <w:shd w:val="clear" w:color="000000" w:fill="FFC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8.5</w:t>
            </w:r>
          </w:p>
        </w:tc>
        <w:tc>
          <w:tcPr>
            <w:tcW w:w="753" w:type="dxa"/>
            <w:tcBorders>
              <w:top w:val="nil"/>
              <w:left w:val="nil"/>
              <w:bottom w:val="single" w:sz="4" w:space="0" w:color="auto"/>
              <w:right w:val="single" w:sz="4" w:space="0" w:color="auto"/>
            </w:tcBorders>
            <w:shd w:val="clear" w:color="000000" w:fill="FFC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9.4</w:t>
            </w:r>
          </w:p>
        </w:tc>
        <w:tc>
          <w:tcPr>
            <w:tcW w:w="753" w:type="dxa"/>
            <w:tcBorders>
              <w:top w:val="nil"/>
              <w:left w:val="nil"/>
              <w:bottom w:val="single" w:sz="4" w:space="0" w:color="auto"/>
              <w:right w:val="single" w:sz="4" w:space="0" w:color="auto"/>
            </w:tcBorders>
            <w:shd w:val="clear" w:color="000000" w:fill="FFC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8.6</w:t>
            </w:r>
          </w:p>
        </w:tc>
        <w:tc>
          <w:tcPr>
            <w:tcW w:w="753" w:type="dxa"/>
            <w:tcBorders>
              <w:top w:val="nil"/>
              <w:left w:val="nil"/>
              <w:bottom w:val="single" w:sz="4" w:space="0" w:color="auto"/>
              <w:right w:val="single" w:sz="4" w:space="0" w:color="auto"/>
            </w:tcBorders>
            <w:shd w:val="clear" w:color="000000" w:fill="FFC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9.2</w:t>
            </w:r>
          </w:p>
        </w:tc>
        <w:tc>
          <w:tcPr>
            <w:tcW w:w="753" w:type="dxa"/>
            <w:tcBorders>
              <w:top w:val="nil"/>
              <w:left w:val="nil"/>
              <w:bottom w:val="single" w:sz="4" w:space="0" w:color="auto"/>
              <w:right w:val="single" w:sz="4" w:space="0" w:color="auto"/>
            </w:tcBorders>
            <w:shd w:val="clear" w:color="000000" w:fill="FFC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9.9</w:t>
            </w:r>
          </w:p>
        </w:tc>
        <w:tc>
          <w:tcPr>
            <w:tcW w:w="753" w:type="dxa"/>
            <w:tcBorders>
              <w:top w:val="nil"/>
              <w:left w:val="nil"/>
              <w:bottom w:val="single" w:sz="4" w:space="0" w:color="auto"/>
              <w:right w:val="single" w:sz="4" w:space="0" w:color="auto"/>
            </w:tcBorders>
            <w:shd w:val="clear" w:color="000000" w:fill="FFC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11.8</w:t>
            </w:r>
          </w:p>
        </w:tc>
        <w:tc>
          <w:tcPr>
            <w:tcW w:w="753" w:type="dxa"/>
            <w:tcBorders>
              <w:top w:val="nil"/>
              <w:left w:val="nil"/>
              <w:bottom w:val="single" w:sz="4" w:space="0" w:color="auto"/>
              <w:right w:val="single" w:sz="4" w:space="0" w:color="auto"/>
            </w:tcBorders>
            <w:shd w:val="clear" w:color="000000" w:fill="FFC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11.1</w:t>
            </w:r>
          </w:p>
        </w:tc>
        <w:tc>
          <w:tcPr>
            <w:tcW w:w="753" w:type="dxa"/>
            <w:tcBorders>
              <w:top w:val="nil"/>
              <w:left w:val="nil"/>
              <w:bottom w:val="single" w:sz="4" w:space="0" w:color="auto"/>
              <w:right w:val="single" w:sz="4" w:space="0" w:color="auto"/>
            </w:tcBorders>
            <w:shd w:val="clear" w:color="000000" w:fill="FFC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11.8</w:t>
            </w:r>
          </w:p>
        </w:tc>
        <w:tc>
          <w:tcPr>
            <w:tcW w:w="753" w:type="dxa"/>
            <w:tcBorders>
              <w:top w:val="nil"/>
              <w:left w:val="nil"/>
              <w:bottom w:val="single" w:sz="4" w:space="0" w:color="auto"/>
              <w:right w:val="single" w:sz="8" w:space="0" w:color="auto"/>
            </w:tcBorders>
            <w:shd w:val="clear" w:color="000000" w:fill="FFC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12.2</w:t>
            </w:r>
          </w:p>
        </w:tc>
      </w:tr>
      <w:tr w:rsidTr="004547C8">
        <w:tblPrEx>
          <w:tblW w:w="9981" w:type="dxa"/>
          <w:tblInd w:w="108" w:type="dxa"/>
          <w:tblLook w:val="04A0"/>
        </w:tblPrEx>
        <w:trPr>
          <w:trHeight w:val="25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3E2086" w:rsidRPr="0030691B" w:rsidP="004547C8">
            <w:pPr>
              <w:ind w:right="81"/>
              <w:rPr>
                <w:rFonts w:eastAsia="Times New Roman" w:cs="Arial"/>
                <w:sz w:val="20"/>
                <w:szCs w:val="20"/>
                <w:lang w:eastAsia="en-GB"/>
              </w:rPr>
            </w:pPr>
            <w:r w:rsidRPr="0030691B">
              <w:rPr>
                <w:rFonts w:eastAsia="Times New Roman" w:cs="Arial"/>
                <w:sz w:val="20"/>
                <w:szCs w:val="20"/>
                <w:lang w:eastAsia="en-GB"/>
              </w:rPr>
              <w:t>Pendle</w:t>
            </w:r>
          </w:p>
        </w:tc>
        <w:tc>
          <w:tcPr>
            <w:tcW w:w="752" w:type="dxa"/>
            <w:tcBorders>
              <w:top w:val="nil"/>
              <w:left w:val="nil"/>
              <w:bottom w:val="single" w:sz="4" w:space="0" w:color="auto"/>
              <w:right w:val="single" w:sz="4" w:space="0" w:color="auto"/>
            </w:tcBorders>
            <w:shd w:val="clear" w:color="000000" w:fill="FFC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12.1</w:t>
            </w:r>
          </w:p>
        </w:tc>
        <w:tc>
          <w:tcPr>
            <w:tcW w:w="752" w:type="dxa"/>
            <w:tcBorders>
              <w:top w:val="nil"/>
              <w:left w:val="nil"/>
              <w:bottom w:val="single" w:sz="4" w:space="0" w:color="auto"/>
              <w:right w:val="single" w:sz="4" w:space="0" w:color="auto"/>
            </w:tcBorders>
            <w:shd w:val="clear" w:color="000000" w:fill="BFBFBF"/>
            <w:noWrap/>
            <w:vAlign w:val="bottom"/>
            <w:hideMark/>
          </w:tcPr>
          <w:p w:rsidR="003E2086" w:rsidRPr="0030691B" w:rsidP="004547C8">
            <w:pPr>
              <w:ind w:right="81"/>
              <w:jc w:val="right"/>
              <w:rPr>
                <w:rFonts w:eastAsia="Times New Roman" w:cs="Arial"/>
                <w:sz w:val="18"/>
                <w:szCs w:val="18"/>
                <w:lang w:eastAsia="en-GB"/>
              </w:rPr>
            </w:pPr>
          </w:p>
        </w:tc>
        <w:tc>
          <w:tcPr>
            <w:tcW w:w="752" w:type="dxa"/>
            <w:tcBorders>
              <w:top w:val="nil"/>
              <w:left w:val="nil"/>
              <w:bottom w:val="single" w:sz="4" w:space="0" w:color="auto"/>
              <w:right w:val="single" w:sz="4" w:space="0" w:color="auto"/>
            </w:tcBorders>
            <w:shd w:val="clear" w:color="000000" w:fill="BFBFBF"/>
            <w:noWrap/>
            <w:vAlign w:val="bottom"/>
            <w:hideMark/>
          </w:tcPr>
          <w:p w:rsidR="003E2086" w:rsidRPr="0030691B" w:rsidP="004547C8">
            <w:pPr>
              <w:ind w:right="81"/>
              <w:jc w:val="right"/>
              <w:rPr>
                <w:rFonts w:eastAsia="Times New Roman" w:cs="Arial"/>
                <w:sz w:val="18"/>
                <w:szCs w:val="18"/>
                <w:lang w:eastAsia="en-GB"/>
              </w:rPr>
            </w:pPr>
          </w:p>
        </w:tc>
        <w:tc>
          <w:tcPr>
            <w:tcW w:w="753" w:type="dxa"/>
            <w:tcBorders>
              <w:top w:val="nil"/>
              <w:left w:val="nil"/>
              <w:bottom w:val="single" w:sz="4" w:space="0" w:color="auto"/>
              <w:right w:val="single" w:sz="4" w:space="0" w:color="auto"/>
            </w:tcBorders>
            <w:shd w:val="clear" w:color="000000" w:fill="BFBFBF"/>
            <w:noWrap/>
            <w:vAlign w:val="bottom"/>
            <w:hideMark/>
          </w:tcPr>
          <w:p w:rsidR="003E2086" w:rsidRPr="0030691B" w:rsidP="004547C8">
            <w:pPr>
              <w:ind w:right="81"/>
              <w:jc w:val="right"/>
              <w:rPr>
                <w:rFonts w:eastAsia="Times New Roman" w:cs="Arial"/>
                <w:sz w:val="18"/>
                <w:szCs w:val="18"/>
                <w:lang w:eastAsia="en-GB"/>
              </w:rPr>
            </w:pPr>
          </w:p>
        </w:tc>
        <w:tc>
          <w:tcPr>
            <w:tcW w:w="753" w:type="dxa"/>
            <w:tcBorders>
              <w:top w:val="nil"/>
              <w:left w:val="nil"/>
              <w:bottom w:val="single" w:sz="4" w:space="0" w:color="auto"/>
              <w:right w:val="single" w:sz="4" w:space="0" w:color="auto"/>
            </w:tcBorders>
            <w:shd w:val="clear" w:color="000000" w:fill="BFBFBF"/>
            <w:noWrap/>
            <w:vAlign w:val="bottom"/>
            <w:hideMark/>
          </w:tcPr>
          <w:p w:rsidR="003E2086" w:rsidRPr="0030691B" w:rsidP="004547C8">
            <w:pPr>
              <w:ind w:right="81"/>
              <w:jc w:val="right"/>
              <w:rPr>
                <w:rFonts w:eastAsia="Times New Roman" w:cs="Arial"/>
                <w:sz w:val="18"/>
                <w:szCs w:val="18"/>
                <w:lang w:eastAsia="en-GB"/>
              </w:rPr>
            </w:pPr>
          </w:p>
        </w:tc>
        <w:tc>
          <w:tcPr>
            <w:tcW w:w="753" w:type="dxa"/>
            <w:tcBorders>
              <w:top w:val="nil"/>
              <w:left w:val="nil"/>
              <w:bottom w:val="single" w:sz="4" w:space="0" w:color="auto"/>
              <w:right w:val="single" w:sz="4" w:space="0" w:color="auto"/>
            </w:tcBorders>
            <w:shd w:val="clear" w:color="000000" w:fill="FFC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12.3</w:t>
            </w:r>
          </w:p>
        </w:tc>
        <w:tc>
          <w:tcPr>
            <w:tcW w:w="753" w:type="dxa"/>
            <w:tcBorders>
              <w:top w:val="nil"/>
              <w:left w:val="nil"/>
              <w:bottom w:val="single" w:sz="4" w:space="0" w:color="auto"/>
              <w:right w:val="single" w:sz="4" w:space="0" w:color="auto"/>
            </w:tcBorders>
            <w:shd w:val="clear" w:color="000000" w:fill="FFC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11.1</w:t>
            </w:r>
          </w:p>
        </w:tc>
        <w:tc>
          <w:tcPr>
            <w:tcW w:w="753" w:type="dxa"/>
            <w:tcBorders>
              <w:top w:val="nil"/>
              <w:left w:val="nil"/>
              <w:bottom w:val="single" w:sz="4" w:space="0" w:color="auto"/>
              <w:right w:val="single" w:sz="4" w:space="0" w:color="auto"/>
            </w:tcBorders>
            <w:shd w:val="clear" w:color="000000" w:fill="FFC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10.9</w:t>
            </w:r>
          </w:p>
        </w:tc>
        <w:tc>
          <w:tcPr>
            <w:tcW w:w="753" w:type="dxa"/>
            <w:tcBorders>
              <w:top w:val="nil"/>
              <w:left w:val="nil"/>
              <w:bottom w:val="single" w:sz="4" w:space="0" w:color="auto"/>
              <w:right w:val="single" w:sz="4" w:space="0" w:color="auto"/>
            </w:tcBorders>
            <w:shd w:val="clear" w:color="000000" w:fill="FFC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12.2</w:t>
            </w:r>
          </w:p>
        </w:tc>
        <w:tc>
          <w:tcPr>
            <w:tcW w:w="753" w:type="dxa"/>
            <w:tcBorders>
              <w:top w:val="nil"/>
              <w:left w:val="nil"/>
              <w:bottom w:val="single" w:sz="4" w:space="0" w:color="auto"/>
              <w:right w:val="single" w:sz="4" w:space="0" w:color="auto"/>
            </w:tcBorders>
            <w:shd w:val="clear" w:color="000000" w:fill="FFC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13.7</w:t>
            </w:r>
          </w:p>
        </w:tc>
        <w:tc>
          <w:tcPr>
            <w:tcW w:w="753" w:type="dxa"/>
            <w:tcBorders>
              <w:top w:val="nil"/>
              <w:left w:val="nil"/>
              <w:bottom w:val="single" w:sz="4" w:space="0" w:color="auto"/>
              <w:right w:val="single" w:sz="8" w:space="0" w:color="auto"/>
            </w:tcBorders>
            <w:shd w:val="clear" w:color="000000" w:fill="FFC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12.4</w:t>
            </w:r>
          </w:p>
        </w:tc>
      </w:tr>
      <w:tr w:rsidTr="004547C8">
        <w:tblPrEx>
          <w:tblW w:w="9981" w:type="dxa"/>
          <w:tblInd w:w="108" w:type="dxa"/>
          <w:tblLook w:val="04A0"/>
        </w:tblPrEx>
        <w:trPr>
          <w:trHeight w:val="25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3E2086" w:rsidRPr="0030691B" w:rsidP="004547C8">
            <w:pPr>
              <w:ind w:right="81"/>
              <w:rPr>
                <w:rFonts w:eastAsia="Times New Roman" w:cs="Arial"/>
                <w:sz w:val="20"/>
                <w:szCs w:val="20"/>
                <w:lang w:eastAsia="en-GB"/>
              </w:rPr>
            </w:pPr>
            <w:r w:rsidRPr="0030691B">
              <w:rPr>
                <w:rFonts w:eastAsia="Times New Roman" w:cs="Arial"/>
                <w:sz w:val="20"/>
                <w:szCs w:val="20"/>
                <w:lang w:eastAsia="en-GB"/>
              </w:rPr>
              <w:t>Preston</w:t>
            </w:r>
          </w:p>
        </w:tc>
        <w:tc>
          <w:tcPr>
            <w:tcW w:w="752" w:type="dxa"/>
            <w:tcBorders>
              <w:top w:val="nil"/>
              <w:left w:val="nil"/>
              <w:bottom w:val="single" w:sz="4" w:space="0" w:color="auto"/>
              <w:right w:val="single" w:sz="4" w:space="0" w:color="auto"/>
            </w:tcBorders>
            <w:shd w:val="clear" w:color="000000" w:fill="FFC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11.3</w:t>
            </w:r>
          </w:p>
        </w:tc>
        <w:tc>
          <w:tcPr>
            <w:tcW w:w="752" w:type="dxa"/>
            <w:tcBorders>
              <w:top w:val="nil"/>
              <w:left w:val="nil"/>
              <w:bottom w:val="single" w:sz="4" w:space="0" w:color="auto"/>
              <w:right w:val="single" w:sz="4" w:space="0" w:color="auto"/>
            </w:tcBorders>
            <w:shd w:val="clear" w:color="000000" w:fill="FFC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11.8</w:t>
            </w:r>
          </w:p>
        </w:tc>
        <w:tc>
          <w:tcPr>
            <w:tcW w:w="752" w:type="dxa"/>
            <w:tcBorders>
              <w:top w:val="nil"/>
              <w:left w:val="nil"/>
              <w:bottom w:val="single" w:sz="4" w:space="0" w:color="auto"/>
              <w:right w:val="single" w:sz="4" w:space="0" w:color="auto"/>
            </w:tcBorders>
            <w:shd w:val="clear" w:color="000000" w:fill="FF0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13.0</w:t>
            </w:r>
          </w:p>
        </w:tc>
        <w:tc>
          <w:tcPr>
            <w:tcW w:w="753" w:type="dxa"/>
            <w:tcBorders>
              <w:top w:val="nil"/>
              <w:left w:val="nil"/>
              <w:bottom w:val="single" w:sz="4" w:space="0" w:color="auto"/>
              <w:right w:val="single" w:sz="4" w:space="0" w:color="auto"/>
            </w:tcBorders>
            <w:shd w:val="clear" w:color="000000" w:fill="FFC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12.0</w:t>
            </w:r>
          </w:p>
        </w:tc>
        <w:tc>
          <w:tcPr>
            <w:tcW w:w="753" w:type="dxa"/>
            <w:tcBorders>
              <w:top w:val="nil"/>
              <w:left w:val="nil"/>
              <w:bottom w:val="single" w:sz="4" w:space="0" w:color="auto"/>
              <w:right w:val="single" w:sz="4" w:space="0" w:color="auto"/>
            </w:tcBorders>
            <w:shd w:val="clear" w:color="000000" w:fill="FF0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15.9</w:t>
            </w:r>
          </w:p>
        </w:tc>
        <w:tc>
          <w:tcPr>
            <w:tcW w:w="753" w:type="dxa"/>
            <w:tcBorders>
              <w:top w:val="nil"/>
              <w:left w:val="nil"/>
              <w:bottom w:val="single" w:sz="4" w:space="0" w:color="auto"/>
              <w:right w:val="single" w:sz="4" w:space="0" w:color="auto"/>
            </w:tcBorders>
            <w:shd w:val="clear" w:color="000000" w:fill="FF0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13.8</w:t>
            </w:r>
          </w:p>
        </w:tc>
        <w:tc>
          <w:tcPr>
            <w:tcW w:w="753" w:type="dxa"/>
            <w:tcBorders>
              <w:top w:val="nil"/>
              <w:left w:val="nil"/>
              <w:bottom w:val="single" w:sz="4" w:space="0" w:color="auto"/>
              <w:right w:val="single" w:sz="4" w:space="0" w:color="auto"/>
            </w:tcBorders>
            <w:shd w:val="clear" w:color="000000" w:fill="FF0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14.6</w:t>
            </w:r>
          </w:p>
        </w:tc>
        <w:tc>
          <w:tcPr>
            <w:tcW w:w="753" w:type="dxa"/>
            <w:tcBorders>
              <w:top w:val="nil"/>
              <w:left w:val="nil"/>
              <w:bottom w:val="single" w:sz="4" w:space="0" w:color="auto"/>
              <w:right w:val="single" w:sz="4" w:space="0" w:color="auto"/>
            </w:tcBorders>
            <w:shd w:val="clear" w:color="000000" w:fill="FF0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14.6</w:t>
            </w:r>
          </w:p>
        </w:tc>
        <w:tc>
          <w:tcPr>
            <w:tcW w:w="753" w:type="dxa"/>
            <w:tcBorders>
              <w:top w:val="nil"/>
              <w:left w:val="nil"/>
              <w:bottom w:val="single" w:sz="4" w:space="0" w:color="auto"/>
              <w:right w:val="single" w:sz="4" w:space="0" w:color="auto"/>
            </w:tcBorders>
            <w:shd w:val="clear" w:color="000000" w:fill="FF0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16.7</w:t>
            </w:r>
          </w:p>
        </w:tc>
        <w:tc>
          <w:tcPr>
            <w:tcW w:w="753" w:type="dxa"/>
            <w:tcBorders>
              <w:top w:val="nil"/>
              <w:left w:val="nil"/>
              <w:bottom w:val="single" w:sz="4" w:space="0" w:color="auto"/>
              <w:right w:val="single" w:sz="4" w:space="0" w:color="auto"/>
            </w:tcBorders>
            <w:shd w:val="clear" w:color="000000" w:fill="FF0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18.6</w:t>
            </w:r>
          </w:p>
        </w:tc>
        <w:tc>
          <w:tcPr>
            <w:tcW w:w="753" w:type="dxa"/>
            <w:tcBorders>
              <w:top w:val="nil"/>
              <w:left w:val="nil"/>
              <w:bottom w:val="single" w:sz="4" w:space="0" w:color="auto"/>
              <w:right w:val="single" w:sz="8" w:space="0" w:color="auto"/>
            </w:tcBorders>
            <w:shd w:val="clear" w:color="000000" w:fill="FF0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16.8</w:t>
            </w:r>
          </w:p>
        </w:tc>
      </w:tr>
      <w:tr w:rsidTr="004547C8">
        <w:tblPrEx>
          <w:tblW w:w="9981" w:type="dxa"/>
          <w:tblInd w:w="108" w:type="dxa"/>
          <w:tblLook w:val="04A0"/>
        </w:tblPrEx>
        <w:trPr>
          <w:trHeight w:val="25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3E2086" w:rsidRPr="0030691B" w:rsidP="004547C8">
            <w:pPr>
              <w:ind w:right="81"/>
              <w:rPr>
                <w:rFonts w:eastAsia="Times New Roman" w:cs="Arial"/>
                <w:sz w:val="20"/>
                <w:szCs w:val="20"/>
                <w:lang w:eastAsia="en-GB"/>
              </w:rPr>
            </w:pPr>
            <w:r w:rsidRPr="0030691B">
              <w:rPr>
                <w:rFonts w:eastAsia="Times New Roman" w:cs="Arial"/>
                <w:sz w:val="20"/>
                <w:szCs w:val="20"/>
                <w:lang w:eastAsia="en-GB"/>
              </w:rPr>
              <w:t>Ribble Valley</w:t>
            </w:r>
          </w:p>
        </w:tc>
        <w:tc>
          <w:tcPr>
            <w:tcW w:w="752" w:type="dxa"/>
            <w:tcBorders>
              <w:top w:val="nil"/>
              <w:left w:val="nil"/>
              <w:bottom w:val="single" w:sz="4" w:space="0" w:color="auto"/>
              <w:right w:val="single" w:sz="4" w:space="0" w:color="auto"/>
            </w:tcBorders>
            <w:shd w:val="clear" w:color="000000" w:fill="BFBFBF"/>
            <w:noWrap/>
            <w:vAlign w:val="bottom"/>
            <w:hideMark/>
          </w:tcPr>
          <w:p w:rsidR="003E2086" w:rsidRPr="0030691B" w:rsidP="004547C8">
            <w:pPr>
              <w:ind w:right="81"/>
              <w:jc w:val="right"/>
              <w:rPr>
                <w:rFonts w:eastAsia="Times New Roman" w:cs="Arial"/>
                <w:sz w:val="18"/>
                <w:szCs w:val="18"/>
                <w:lang w:eastAsia="en-GB"/>
              </w:rPr>
            </w:pPr>
          </w:p>
        </w:tc>
        <w:tc>
          <w:tcPr>
            <w:tcW w:w="752" w:type="dxa"/>
            <w:tcBorders>
              <w:top w:val="nil"/>
              <w:left w:val="nil"/>
              <w:bottom w:val="single" w:sz="4" w:space="0" w:color="auto"/>
              <w:right w:val="single" w:sz="4" w:space="0" w:color="auto"/>
            </w:tcBorders>
            <w:shd w:val="clear" w:color="000000" w:fill="BFBFBF"/>
            <w:noWrap/>
            <w:vAlign w:val="bottom"/>
            <w:hideMark/>
          </w:tcPr>
          <w:p w:rsidR="003E2086" w:rsidRPr="0030691B" w:rsidP="004547C8">
            <w:pPr>
              <w:ind w:right="81"/>
              <w:jc w:val="right"/>
              <w:rPr>
                <w:rFonts w:eastAsia="Times New Roman" w:cs="Arial"/>
                <w:sz w:val="18"/>
                <w:szCs w:val="18"/>
                <w:lang w:eastAsia="en-GB"/>
              </w:rPr>
            </w:pPr>
          </w:p>
        </w:tc>
        <w:tc>
          <w:tcPr>
            <w:tcW w:w="752" w:type="dxa"/>
            <w:tcBorders>
              <w:top w:val="nil"/>
              <w:left w:val="nil"/>
              <w:bottom w:val="single" w:sz="4" w:space="0" w:color="auto"/>
              <w:right w:val="single" w:sz="4" w:space="0" w:color="auto"/>
            </w:tcBorders>
            <w:shd w:val="clear" w:color="000000" w:fill="BFBFBF"/>
            <w:noWrap/>
            <w:vAlign w:val="bottom"/>
            <w:hideMark/>
          </w:tcPr>
          <w:p w:rsidR="003E2086" w:rsidRPr="0030691B" w:rsidP="004547C8">
            <w:pPr>
              <w:ind w:right="81"/>
              <w:jc w:val="right"/>
              <w:rPr>
                <w:rFonts w:eastAsia="Times New Roman" w:cs="Arial"/>
                <w:sz w:val="18"/>
                <w:szCs w:val="18"/>
                <w:lang w:eastAsia="en-GB"/>
              </w:rPr>
            </w:pPr>
          </w:p>
        </w:tc>
        <w:tc>
          <w:tcPr>
            <w:tcW w:w="753" w:type="dxa"/>
            <w:tcBorders>
              <w:top w:val="nil"/>
              <w:left w:val="nil"/>
              <w:bottom w:val="single" w:sz="4" w:space="0" w:color="auto"/>
              <w:right w:val="single" w:sz="4" w:space="0" w:color="auto"/>
            </w:tcBorders>
            <w:shd w:val="clear" w:color="000000" w:fill="BFBFBF"/>
            <w:noWrap/>
            <w:vAlign w:val="bottom"/>
            <w:hideMark/>
          </w:tcPr>
          <w:p w:rsidR="003E2086" w:rsidRPr="0030691B" w:rsidP="004547C8">
            <w:pPr>
              <w:ind w:right="81"/>
              <w:jc w:val="right"/>
              <w:rPr>
                <w:rFonts w:eastAsia="Times New Roman" w:cs="Arial"/>
                <w:sz w:val="18"/>
                <w:szCs w:val="18"/>
                <w:lang w:eastAsia="en-GB"/>
              </w:rPr>
            </w:pPr>
          </w:p>
        </w:tc>
        <w:tc>
          <w:tcPr>
            <w:tcW w:w="753" w:type="dxa"/>
            <w:tcBorders>
              <w:top w:val="nil"/>
              <w:left w:val="nil"/>
              <w:bottom w:val="single" w:sz="4" w:space="0" w:color="auto"/>
              <w:right w:val="single" w:sz="4" w:space="0" w:color="auto"/>
            </w:tcBorders>
            <w:shd w:val="clear" w:color="000000" w:fill="BFBFBF"/>
            <w:noWrap/>
            <w:vAlign w:val="bottom"/>
            <w:hideMark/>
          </w:tcPr>
          <w:p w:rsidR="003E2086" w:rsidRPr="0030691B" w:rsidP="004547C8">
            <w:pPr>
              <w:ind w:right="81"/>
              <w:jc w:val="right"/>
              <w:rPr>
                <w:rFonts w:eastAsia="Times New Roman" w:cs="Arial"/>
                <w:sz w:val="18"/>
                <w:szCs w:val="18"/>
                <w:lang w:eastAsia="en-GB"/>
              </w:rPr>
            </w:pPr>
          </w:p>
        </w:tc>
        <w:tc>
          <w:tcPr>
            <w:tcW w:w="753" w:type="dxa"/>
            <w:tcBorders>
              <w:top w:val="nil"/>
              <w:left w:val="nil"/>
              <w:bottom w:val="single" w:sz="4" w:space="0" w:color="auto"/>
              <w:right w:val="single" w:sz="4" w:space="0" w:color="auto"/>
            </w:tcBorders>
            <w:shd w:val="clear" w:color="000000" w:fill="BFBFBF"/>
            <w:noWrap/>
            <w:vAlign w:val="bottom"/>
            <w:hideMark/>
          </w:tcPr>
          <w:p w:rsidR="003E2086" w:rsidRPr="0030691B" w:rsidP="004547C8">
            <w:pPr>
              <w:ind w:right="81"/>
              <w:jc w:val="right"/>
              <w:rPr>
                <w:rFonts w:eastAsia="Times New Roman" w:cs="Arial"/>
                <w:sz w:val="18"/>
                <w:szCs w:val="18"/>
                <w:lang w:eastAsia="en-GB"/>
              </w:rPr>
            </w:pPr>
          </w:p>
        </w:tc>
        <w:tc>
          <w:tcPr>
            <w:tcW w:w="753" w:type="dxa"/>
            <w:tcBorders>
              <w:top w:val="nil"/>
              <w:left w:val="nil"/>
              <w:bottom w:val="single" w:sz="4" w:space="0" w:color="auto"/>
              <w:right w:val="single" w:sz="4" w:space="0" w:color="auto"/>
            </w:tcBorders>
            <w:shd w:val="clear" w:color="000000" w:fill="BFBFBF"/>
            <w:noWrap/>
            <w:vAlign w:val="bottom"/>
            <w:hideMark/>
          </w:tcPr>
          <w:p w:rsidR="003E2086" w:rsidRPr="0030691B" w:rsidP="004547C8">
            <w:pPr>
              <w:ind w:right="81"/>
              <w:jc w:val="right"/>
              <w:rPr>
                <w:rFonts w:eastAsia="Times New Roman" w:cs="Arial"/>
                <w:sz w:val="18"/>
                <w:szCs w:val="18"/>
                <w:lang w:eastAsia="en-GB"/>
              </w:rPr>
            </w:pPr>
          </w:p>
        </w:tc>
        <w:tc>
          <w:tcPr>
            <w:tcW w:w="753" w:type="dxa"/>
            <w:tcBorders>
              <w:top w:val="nil"/>
              <w:left w:val="nil"/>
              <w:bottom w:val="single" w:sz="4" w:space="0" w:color="auto"/>
              <w:right w:val="single" w:sz="4" w:space="0" w:color="auto"/>
            </w:tcBorders>
            <w:shd w:val="clear" w:color="000000" w:fill="BFBFBF"/>
            <w:noWrap/>
            <w:vAlign w:val="bottom"/>
            <w:hideMark/>
          </w:tcPr>
          <w:p w:rsidR="003E2086" w:rsidRPr="0030691B" w:rsidP="004547C8">
            <w:pPr>
              <w:ind w:right="81"/>
              <w:jc w:val="right"/>
              <w:rPr>
                <w:rFonts w:eastAsia="Times New Roman" w:cs="Arial"/>
                <w:sz w:val="18"/>
                <w:szCs w:val="18"/>
                <w:lang w:eastAsia="en-GB"/>
              </w:rPr>
            </w:pPr>
          </w:p>
        </w:tc>
        <w:tc>
          <w:tcPr>
            <w:tcW w:w="753" w:type="dxa"/>
            <w:tcBorders>
              <w:top w:val="nil"/>
              <w:left w:val="nil"/>
              <w:bottom w:val="single" w:sz="4" w:space="0" w:color="auto"/>
              <w:right w:val="single" w:sz="4" w:space="0" w:color="auto"/>
            </w:tcBorders>
            <w:shd w:val="clear" w:color="000000" w:fill="BFBFBF"/>
            <w:noWrap/>
            <w:vAlign w:val="bottom"/>
            <w:hideMark/>
          </w:tcPr>
          <w:p w:rsidR="003E2086" w:rsidRPr="0030691B" w:rsidP="004547C8">
            <w:pPr>
              <w:ind w:right="81"/>
              <w:jc w:val="right"/>
              <w:rPr>
                <w:rFonts w:eastAsia="Times New Roman" w:cs="Arial"/>
                <w:sz w:val="18"/>
                <w:szCs w:val="18"/>
                <w:lang w:eastAsia="en-GB"/>
              </w:rPr>
            </w:pPr>
          </w:p>
        </w:tc>
        <w:tc>
          <w:tcPr>
            <w:tcW w:w="753" w:type="dxa"/>
            <w:tcBorders>
              <w:top w:val="nil"/>
              <w:left w:val="nil"/>
              <w:bottom w:val="single" w:sz="4" w:space="0" w:color="auto"/>
              <w:right w:val="single" w:sz="4" w:space="0" w:color="auto"/>
            </w:tcBorders>
            <w:shd w:val="clear" w:color="000000" w:fill="BFBFBF"/>
            <w:noWrap/>
            <w:vAlign w:val="bottom"/>
            <w:hideMark/>
          </w:tcPr>
          <w:p w:rsidR="003E2086" w:rsidRPr="0030691B" w:rsidP="004547C8">
            <w:pPr>
              <w:ind w:right="81"/>
              <w:jc w:val="right"/>
              <w:rPr>
                <w:rFonts w:eastAsia="Times New Roman" w:cs="Arial"/>
                <w:sz w:val="18"/>
                <w:szCs w:val="18"/>
                <w:lang w:eastAsia="en-GB"/>
              </w:rPr>
            </w:pPr>
          </w:p>
        </w:tc>
        <w:tc>
          <w:tcPr>
            <w:tcW w:w="753" w:type="dxa"/>
            <w:tcBorders>
              <w:top w:val="nil"/>
              <w:left w:val="nil"/>
              <w:bottom w:val="single" w:sz="4" w:space="0" w:color="auto"/>
              <w:right w:val="single" w:sz="8" w:space="0" w:color="auto"/>
            </w:tcBorders>
            <w:shd w:val="clear" w:color="000000" w:fill="BFBFBF"/>
            <w:noWrap/>
            <w:vAlign w:val="bottom"/>
            <w:hideMark/>
          </w:tcPr>
          <w:p w:rsidR="003E2086" w:rsidRPr="0030691B" w:rsidP="004547C8">
            <w:pPr>
              <w:ind w:right="81"/>
              <w:jc w:val="right"/>
              <w:rPr>
                <w:rFonts w:eastAsia="Times New Roman" w:cs="Arial"/>
                <w:sz w:val="18"/>
                <w:szCs w:val="18"/>
                <w:lang w:eastAsia="en-GB"/>
              </w:rPr>
            </w:pPr>
          </w:p>
        </w:tc>
      </w:tr>
      <w:tr w:rsidTr="004547C8">
        <w:tblPrEx>
          <w:tblW w:w="9981" w:type="dxa"/>
          <w:tblInd w:w="108" w:type="dxa"/>
          <w:tblLook w:val="04A0"/>
        </w:tblPrEx>
        <w:trPr>
          <w:trHeight w:val="25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3E2086" w:rsidRPr="0030691B" w:rsidP="004547C8">
            <w:pPr>
              <w:ind w:right="81"/>
              <w:rPr>
                <w:rFonts w:eastAsia="Times New Roman" w:cs="Arial"/>
                <w:sz w:val="20"/>
                <w:szCs w:val="20"/>
                <w:lang w:eastAsia="en-GB"/>
              </w:rPr>
            </w:pPr>
            <w:r w:rsidRPr="0030691B">
              <w:rPr>
                <w:rFonts w:eastAsia="Times New Roman" w:cs="Arial"/>
                <w:sz w:val="20"/>
                <w:szCs w:val="20"/>
                <w:lang w:eastAsia="en-GB"/>
              </w:rPr>
              <w:t>Rossendale</w:t>
            </w:r>
          </w:p>
        </w:tc>
        <w:tc>
          <w:tcPr>
            <w:tcW w:w="752" w:type="dxa"/>
            <w:tcBorders>
              <w:top w:val="nil"/>
              <w:left w:val="nil"/>
              <w:bottom w:val="single" w:sz="4" w:space="0" w:color="auto"/>
              <w:right w:val="single" w:sz="4" w:space="0" w:color="auto"/>
            </w:tcBorders>
            <w:shd w:val="clear" w:color="000000" w:fill="BFBFBF"/>
            <w:noWrap/>
            <w:vAlign w:val="bottom"/>
            <w:hideMark/>
          </w:tcPr>
          <w:p w:rsidR="003E2086" w:rsidRPr="0030691B" w:rsidP="004547C8">
            <w:pPr>
              <w:ind w:right="81"/>
              <w:jc w:val="right"/>
              <w:rPr>
                <w:rFonts w:eastAsia="Times New Roman" w:cs="Arial"/>
                <w:sz w:val="18"/>
                <w:szCs w:val="18"/>
                <w:lang w:eastAsia="en-GB"/>
              </w:rPr>
            </w:pPr>
          </w:p>
        </w:tc>
        <w:tc>
          <w:tcPr>
            <w:tcW w:w="752" w:type="dxa"/>
            <w:tcBorders>
              <w:top w:val="nil"/>
              <w:left w:val="nil"/>
              <w:bottom w:val="single" w:sz="4" w:space="0" w:color="auto"/>
              <w:right w:val="single" w:sz="4" w:space="0" w:color="auto"/>
            </w:tcBorders>
            <w:shd w:val="clear" w:color="000000" w:fill="BFBFBF"/>
            <w:noWrap/>
            <w:vAlign w:val="bottom"/>
            <w:hideMark/>
          </w:tcPr>
          <w:p w:rsidR="003E2086" w:rsidRPr="0030691B" w:rsidP="004547C8">
            <w:pPr>
              <w:ind w:right="81"/>
              <w:jc w:val="right"/>
              <w:rPr>
                <w:rFonts w:eastAsia="Times New Roman" w:cs="Arial"/>
                <w:sz w:val="18"/>
                <w:szCs w:val="18"/>
                <w:lang w:eastAsia="en-GB"/>
              </w:rPr>
            </w:pPr>
          </w:p>
        </w:tc>
        <w:tc>
          <w:tcPr>
            <w:tcW w:w="752" w:type="dxa"/>
            <w:tcBorders>
              <w:top w:val="nil"/>
              <w:left w:val="nil"/>
              <w:bottom w:val="single" w:sz="4" w:space="0" w:color="auto"/>
              <w:right w:val="single" w:sz="4" w:space="0" w:color="auto"/>
            </w:tcBorders>
            <w:shd w:val="clear" w:color="000000" w:fill="FF0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15.8</w:t>
            </w:r>
          </w:p>
        </w:tc>
        <w:tc>
          <w:tcPr>
            <w:tcW w:w="753" w:type="dxa"/>
            <w:tcBorders>
              <w:top w:val="nil"/>
              <w:left w:val="nil"/>
              <w:bottom w:val="single" w:sz="4" w:space="0" w:color="auto"/>
              <w:right w:val="single" w:sz="4" w:space="0" w:color="auto"/>
            </w:tcBorders>
            <w:shd w:val="clear" w:color="000000" w:fill="FF0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15.2</w:t>
            </w:r>
          </w:p>
        </w:tc>
        <w:tc>
          <w:tcPr>
            <w:tcW w:w="753" w:type="dxa"/>
            <w:tcBorders>
              <w:top w:val="nil"/>
              <w:left w:val="nil"/>
              <w:bottom w:val="single" w:sz="4" w:space="0" w:color="auto"/>
              <w:right w:val="single" w:sz="4" w:space="0" w:color="auto"/>
            </w:tcBorders>
            <w:shd w:val="clear" w:color="000000" w:fill="FF0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19.3</w:t>
            </w:r>
          </w:p>
        </w:tc>
        <w:tc>
          <w:tcPr>
            <w:tcW w:w="753" w:type="dxa"/>
            <w:tcBorders>
              <w:top w:val="nil"/>
              <w:left w:val="nil"/>
              <w:bottom w:val="single" w:sz="4" w:space="0" w:color="auto"/>
              <w:right w:val="single" w:sz="4" w:space="0" w:color="auto"/>
            </w:tcBorders>
            <w:shd w:val="clear" w:color="000000" w:fill="FF0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17.1</w:t>
            </w:r>
          </w:p>
        </w:tc>
        <w:tc>
          <w:tcPr>
            <w:tcW w:w="753" w:type="dxa"/>
            <w:tcBorders>
              <w:top w:val="nil"/>
              <w:left w:val="nil"/>
              <w:bottom w:val="single" w:sz="4" w:space="0" w:color="auto"/>
              <w:right w:val="single" w:sz="4" w:space="0" w:color="auto"/>
            </w:tcBorders>
            <w:shd w:val="clear" w:color="000000" w:fill="FF0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17.3</w:t>
            </w:r>
          </w:p>
        </w:tc>
        <w:tc>
          <w:tcPr>
            <w:tcW w:w="753" w:type="dxa"/>
            <w:tcBorders>
              <w:top w:val="nil"/>
              <w:left w:val="nil"/>
              <w:bottom w:val="single" w:sz="4" w:space="0" w:color="auto"/>
              <w:right w:val="single" w:sz="4" w:space="0" w:color="auto"/>
            </w:tcBorders>
            <w:shd w:val="clear" w:color="000000" w:fill="BFBFBF"/>
            <w:noWrap/>
            <w:vAlign w:val="bottom"/>
            <w:hideMark/>
          </w:tcPr>
          <w:p w:rsidR="003E2086" w:rsidRPr="0030691B" w:rsidP="004547C8">
            <w:pPr>
              <w:ind w:right="81"/>
              <w:jc w:val="right"/>
              <w:rPr>
                <w:rFonts w:eastAsia="Times New Roman" w:cs="Arial"/>
                <w:sz w:val="18"/>
                <w:szCs w:val="18"/>
                <w:lang w:eastAsia="en-GB"/>
              </w:rPr>
            </w:pPr>
          </w:p>
        </w:tc>
        <w:tc>
          <w:tcPr>
            <w:tcW w:w="753" w:type="dxa"/>
            <w:tcBorders>
              <w:top w:val="nil"/>
              <w:left w:val="nil"/>
              <w:bottom w:val="single" w:sz="4" w:space="0" w:color="auto"/>
              <w:right w:val="single" w:sz="4" w:space="0" w:color="auto"/>
            </w:tcBorders>
            <w:shd w:val="clear" w:color="000000" w:fill="BFBFBF"/>
            <w:noWrap/>
            <w:vAlign w:val="bottom"/>
            <w:hideMark/>
          </w:tcPr>
          <w:p w:rsidR="003E2086" w:rsidRPr="0030691B" w:rsidP="004547C8">
            <w:pPr>
              <w:ind w:right="81"/>
              <w:jc w:val="right"/>
              <w:rPr>
                <w:rFonts w:eastAsia="Times New Roman" w:cs="Arial"/>
                <w:sz w:val="18"/>
                <w:szCs w:val="18"/>
                <w:lang w:eastAsia="en-GB"/>
              </w:rPr>
            </w:pPr>
          </w:p>
        </w:tc>
        <w:tc>
          <w:tcPr>
            <w:tcW w:w="753" w:type="dxa"/>
            <w:tcBorders>
              <w:top w:val="nil"/>
              <w:left w:val="nil"/>
              <w:bottom w:val="single" w:sz="4" w:space="0" w:color="auto"/>
              <w:right w:val="single" w:sz="4" w:space="0" w:color="auto"/>
            </w:tcBorders>
            <w:shd w:val="clear" w:color="000000" w:fill="BFBFBF"/>
            <w:noWrap/>
            <w:vAlign w:val="bottom"/>
            <w:hideMark/>
          </w:tcPr>
          <w:p w:rsidR="003E2086" w:rsidRPr="0030691B" w:rsidP="004547C8">
            <w:pPr>
              <w:ind w:right="81"/>
              <w:jc w:val="right"/>
              <w:rPr>
                <w:rFonts w:eastAsia="Times New Roman" w:cs="Arial"/>
                <w:sz w:val="18"/>
                <w:szCs w:val="18"/>
                <w:lang w:eastAsia="en-GB"/>
              </w:rPr>
            </w:pPr>
          </w:p>
        </w:tc>
        <w:tc>
          <w:tcPr>
            <w:tcW w:w="753" w:type="dxa"/>
            <w:tcBorders>
              <w:top w:val="nil"/>
              <w:left w:val="nil"/>
              <w:bottom w:val="single" w:sz="4" w:space="0" w:color="auto"/>
              <w:right w:val="single" w:sz="8" w:space="0" w:color="auto"/>
            </w:tcBorders>
            <w:shd w:val="clear" w:color="000000" w:fill="BFBFBF"/>
            <w:noWrap/>
            <w:vAlign w:val="bottom"/>
            <w:hideMark/>
          </w:tcPr>
          <w:p w:rsidR="003E2086" w:rsidRPr="0030691B" w:rsidP="004547C8">
            <w:pPr>
              <w:ind w:right="81"/>
              <w:jc w:val="right"/>
              <w:rPr>
                <w:rFonts w:eastAsia="Times New Roman" w:cs="Arial"/>
                <w:sz w:val="18"/>
                <w:szCs w:val="18"/>
                <w:lang w:eastAsia="en-GB"/>
              </w:rPr>
            </w:pPr>
          </w:p>
        </w:tc>
      </w:tr>
      <w:tr w:rsidTr="004547C8">
        <w:tblPrEx>
          <w:tblW w:w="9981" w:type="dxa"/>
          <w:tblInd w:w="108" w:type="dxa"/>
          <w:tblLook w:val="04A0"/>
        </w:tblPrEx>
        <w:trPr>
          <w:trHeight w:val="25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3E2086" w:rsidRPr="0030691B" w:rsidP="004547C8">
            <w:pPr>
              <w:ind w:right="81"/>
              <w:rPr>
                <w:rFonts w:eastAsia="Times New Roman" w:cs="Arial"/>
                <w:sz w:val="20"/>
                <w:szCs w:val="20"/>
                <w:lang w:eastAsia="en-GB"/>
              </w:rPr>
            </w:pPr>
            <w:r w:rsidRPr="0030691B">
              <w:rPr>
                <w:rFonts w:eastAsia="Times New Roman" w:cs="Arial"/>
                <w:sz w:val="20"/>
                <w:szCs w:val="20"/>
                <w:lang w:eastAsia="en-GB"/>
              </w:rPr>
              <w:t>South Ribble</w:t>
            </w:r>
          </w:p>
        </w:tc>
        <w:tc>
          <w:tcPr>
            <w:tcW w:w="752" w:type="dxa"/>
            <w:tcBorders>
              <w:top w:val="nil"/>
              <w:left w:val="nil"/>
              <w:bottom w:val="single" w:sz="4" w:space="0" w:color="auto"/>
              <w:right w:val="single" w:sz="4" w:space="0" w:color="auto"/>
            </w:tcBorders>
            <w:shd w:val="clear" w:color="000000" w:fill="FFC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11.7</w:t>
            </w:r>
          </w:p>
        </w:tc>
        <w:tc>
          <w:tcPr>
            <w:tcW w:w="752" w:type="dxa"/>
            <w:tcBorders>
              <w:top w:val="nil"/>
              <w:left w:val="nil"/>
              <w:bottom w:val="single" w:sz="4" w:space="0" w:color="auto"/>
              <w:right w:val="single" w:sz="4" w:space="0" w:color="auto"/>
            </w:tcBorders>
            <w:shd w:val="clear" w:color="000000" w:fill="FFC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12.9</w:t>
            </w:r>
          </w:p>
        </w:tc>
        <w:tc>
          <w:tcPr>
            <w:tcW w:w="752" w:type="dxa"/>
            <w:tcBorders>
              <w:top w:val="nil"/>
              <w:left w:val="nil"/>
              <w:bottom w:val="single" w:sz="4" w:space="0" w:color="auto"/>
              <w:right w:val="single" w:sz="4" w:space="0" w:color="auto"/>
            </w:tcBorders>
            <w:shd w:val="clear" w:color="000000" w:fill="FFC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11.1</w:t>
            </w:r>
          </w:p>
        </w:tc>
        <w:tc>
          <w:tcPr>
            <w:tcW w:w="753" w:type="dxa"/>
            <w:tcBorders>
              <w:top w:val="nil"/>
              <w:left w:val="nil"/>
              <w:bottom w:val="single" w:sz="4" w:space="0" w:color="auto"/>
              <w:right w:val="single" w:sz="4" w:space="0" w:color="auto"/>
            </w:tcBorders>
            <w:shd w:val="clear" w:color="000000" w:fill="FFC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10.1</w:t>
            </w:r>
          </w:p>
        </w:tc>
        <w:tc>
          <w:tcPr>
            <w:tcW w:w="753" w:type="dxa"/>
            <w:tcBorders>
              <w:top w:val="nil"/>
              <w:left w:val="nil"/>
              <w:bottom w:val="single" w:sz="4" w:space="0" w:color="auto"/>
              <w:right w:val="single" w:sz="4" w:space="0" w:color="auto"/>
            </w:tcBorders>
            <w:shd w:val="clear" w:color="000000" w:fill="BFBFBF"/>
            <w:noWrap/>
            <w:vAlign w:val="bottom"/>
            <w:hideMark/>
          </w:tcPr>
          <w:p w:rsidR="003E2086" w:rsidRPr="0030691B" w:rsidP="004547C8">
            <w:pPr>
              <w:ind w:right="81"/>
              <w:jc w:val="right"/>
              <w:rPr>
                <w:rFonts w:eastAsia="Times New Roman" w:cs="Arial"/>
                <w:sz w:val="18"/>
                <w:szCs w:val="18"/>
                <w:lang w:eastAsia="en-GB"/>
              </w:rPr>
            </w:pPr>
          </w:p>
        </w:tc>
        <w:tc>
          <w:tcPr>
            <w:tcW w:w="753" w:type="dxa"/>
            <w:tcBorders>
              <w:top w:val="nil"/>
              <w:left w:val="nil"/>
              <w:bottom w:val="single" w:sz="4" w:space="0" w:color="auto"/>
              <w:right w:val="single" w:sz="4" w:space="0" w:color="auto"/>
            </w:tcBorders>
            <w:shd w:val="clear" w:color="000000" w:fill="FFC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9.4</w:t>
            </w:r>
          </w:p>
        </w:tc>
        <w:tc>
          <w:tcPr>
            <w:tcW w:w="753" w:type="dxa"/>
            <w:tcBorders>
              <w:top w:val="nil"/>
              <w:left w:val="nil"/>
              <w:bottom w:val="single" w:sz="4" w:space="0" w:color="auto"/>
              <w:right w:val="single" w:sz="4" w:space="0" w:color="auto"/>
            </w:tcBorders>
            <w:shd w:val="clear" w:color="000000" w:fill="FFC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11.2</w:t>
            </w:r>
          </w:p>
        </w:tc>
        <w:tc>
          <w:tcPr>
            <w:tcW w:w="753" w:type="dxa"/>
            <w:tcBorders>
              <w:top w:val="nil"/>
              <w:left w:val="nil"/>
              <w:bottom w:val="single" w:sz="4" w:space="0" w:color="auto"/>
              <w:right w:val="single" w:sz="4" w:space="0" w:color="auto"/>
            </w:tcBorders>
            <w:shd w:val="clear" w:color="000000" w:fill="FF0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14.6</w:t>
            </w:r>
          </w:p>
        </w:tc>
        <w:tc>
          <w:tcPr>
            <w:tcW w:w="753" w:type="dxa"/>
            <w:tcBorders>
              <w:top w:val="nil"/>
              <w:left w:val="nil"/>
              <w:bottom w:val="single" w:sz="4" w:space="0" w:color="auto"/>
              <w:right w:val="single" w:sz="4" w:space="0" w:color="auto"/>
            </w:tcBorders>
            <w:shd w:val="clear" w:color="000000" w:fill="FF0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14.6</w:t>
            </w:r>
          </w:p>
        </w:tc>
        <w:tc>
          <w:tcPr>
            <w:tcW w:w="753" w:type="dxa"/>
            <w:tcBorders>
              <w:top w:val="nil"/>
              <w:left w:val="nil"/>
              <w:bottom w:val="single" w:sz="4" w:space="0" w:color="auto"/>
              <w:right w:val="single" w:sz="4" w:space="0" w:color="auto"/>
            </w:tcBorders>
            <w:shd w:val="clear" w:color="000000" w:fill="FFC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13.5</w:t>
            </w:r>
          </w:p>
        </w:tc>
        <w:tc>
          <w:tcPr>
            <w:tcW w:w="753" w:type="dxa"/>
            <w:tcBorders>
              <w:top w:val="nil"/>
              <w:left w:val="nil"/>
              <w:bottom w:val="single" w:sz="4" w:space="0" w:color="auto"/>
              <w:right w:val="single" w:sz="8" w:space="0" w:color="auto"/>
            </w:tcBorders>
            <w:shd w:val="clear" w:color="000000" w:fill="FFC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11.3</w:t>
            </w:r>
          </w:p>
        </w:tc>
      </w:tr>
      <w:tr w:rsidTr="004547C8">
        <w:tblPrEx>
          <w:tblW w:w="9981" w:type="dxa"/>
          <w:tblInd w:w="108" w:type="dxa"/>
          <w:tblLook w:val="04A0"/>
        </w:tblPrEx>
        <w:trPr>
          <w:trHeight w:val="25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3E2086" w:rsidRPr="0030691B" w:rsidP="004547C8">
            <w:pPr>
              <w:ind w:right="81"/>
              <w:rPr>
                <w:rFonts w:eastAsia="Times New Roman" w:cs="Arial"/>
                <w:sz w:val="20"/>
                <w:szCs w:val="20"/>
                <w:lang w:eastAsia="en-GB"/>
              </w:rPr>
            </w:pPr>
            <w:r w:rsidRPr="0030691B">
              <w:rPr>
                <w:rFonts w:eastAsia="Times New Roman" w:cs="Arial"/>
                <w:sz w:val="20"/>
                <w:szCs w:val="20"/>
                <w:lang w:eastAsia="en-GB"/>
              </w:rPr>
              <w:t>West Lancashire</w:t>
            </w:r>
          </w:p>
        </w:tc>
        <w:tc>
          <w:tcPr>
            <w:tcW w:w="752" w:type="dxa"/>
            <w:tcBorders>
              <w:top w:val="nil"/>
              <w:left w:val="nil"/>
              <w:bottom w:val="single" w:sz="4" w:space="0" w:color="auto"/>
              <w:right w:val="single" w:sz="4" w:space="0" w:color="auto"/>
            </w:tcBorders>
            <w:shd w:val="clear" w:color="000000" w:fill="FFC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9.7</w:t>
            </w:r>
          </w:p>
        </w:tc>
        <w:tc>
          <w:tcPr>
            <w:tcW w:w="752" w:type="dxa"/>
            <w:tcBorders>
              <w:top w:val="nil"/>
              <w:left w:val="nil"/>
              <w:bottom w:val="single" w:sz="4" w:space="0" w:color="auto"/>
              <w:right w:val="single" w:sz="4" w:space="0" w:color="auto"/>
            </w:tcBorders>
            <w:shd w:val="clear" w:color="000000" w:fill="BFBFBF"/>
            <w:noWrap/>
            <w:vAlign w:val="bottom"/>
            <w:hideMark/>
          </w:tcPr>
          <w:p w:rsidR="003E2086" w:rsidRPr="0030691B" w:rsidP="004547C8">
            <w:pPr>
              <w:ind w:right="81"/>
              <w:jc w:val="right"/>
              <w:rPr>
                <w:rFonts w:eastAsia="Times New Roman" w:cs="Arial"/>
                <w:sz w:val="18"/>
                <w:szCs w:val="18"/>
                <w:lang w:eastAsia="en-GB"/>
              </w:rPr>
            </w:pPr>
          </w:p>
        </w:tc>
        <w:tc>
          <w:tcPr>
            <w:tcW w:w="752" w:type="dxa"/>
            <w:tcBorders>
              <w:top w:val="nil"/>
              <w:left w:val="nil"/>
              <w:bottom w:val="single" w:sz="4" w:space="0" w:color="auto"/>
              <w:right w:val="single" w:sz="4" w:space="0" w:color="auto"/>
            </w:tcBorders>
            <w:shd w:val="clear" w:color="000000" w:fill="BFBFBF"/>
            <w:noWrap/>
            <w:vAlign w:val="bottom"/>
            <w:hideMark/>
          </w:tcPr>
          <w:p w:rsidR="003E2086" w:rsidRPr="0030691B" w:rsidP="004547C8">
            <w:pPr>
              <w:ind w:right="81"/>
              <w:jc w:val="right"/>
              <w:rPr>
                <w:rFonts w:eastAsia="Times New Roman" w:cs="Arial"/>
                <w:sz w:val="18"/>
                <w:szCs w:val="18"/>
                <w:lang w:eastAsia="en-GB"/>
              </w:rPr>
            </w:pPr>
          </w:p>
        </w:tc>
        <w:tc>
          <w:tcPr>
            <w:tcW w:w="753" w:type="dxa"/>
            <w:tcBorders>
              <w:top w:val="nil"/>
              <w:left w:val="nil"/>
              <w:bottom w:val="single" w:sz="4" w:space="0" w:color="auto"/>
              <w:right w:val="single" w:sz="4" w:space="0" w:color="auto"/>
            </w:tcBorders>
            <w:shd w:val="clear" w:color="000000" w:fill="BFBFBF"/>
            <w:noWrap/>
            <w:vAlign w:val="bottom"/>
            <w:hideMark/>
          </w:tcPr>
          <w:p w:rsidR="003E2086" w:rsidRPr="0030691B" w:rsidP="004547C8">
            <w:pPr>
              <w:ind w:right="81"/>
              <w:jc w:val="right"/>
              <w:rPr>
                <w:rFonts w:eastAsia="Times New Roman" w:cs="Arial"/>
                <w:sz w:val="18"/>
                <w:szCs w:val="18"/>
                <w:lang w:eastAsia="en-GB"/>
              </w:rPr>
            </w:pPr>
          </w:p>
        </w:tc>
        <w:tc>
          <w:tcPr>
            <w:tcW w:w="753" w:type="dxa"/>
            <w:tcBorders>
              <w:top w:val="nil"/>
              <w:left w:val="nil"/>
              <w:bottom w:val="single" w:sz="4" w:space="0" w:color="auto"/>
              <w:right w:val="single" w:sz="4" w:space="0" w:color="auto"/>
            </w:tcBorders>
            <w:shd w:val="clear" w:color="000000" w:fill="FFC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9.3</w:t>
            </w:r>
          </w:p>
        </w:tc>
        <w:tc>
          <w:tcPr>
            <w:tcW w:w="753" w:type="dxa"/>
            <w:tcBorders>
              <w:top w:val="nil"/>
              <w:left w:val="nil"/>
              <w:bottom w:val="single" w:sz="4" w:space="0" w:color="auto"/>
              <w:right w:val="single" w:sz="4" w:space="0" w:color="auto"/>
            </w:tcBorders>
            <w:shd w:val="clear" w:color="000000" w:fill="FFC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9.3</w:t>
            </w:r>
          </w:p>
        </w:tc>
        <w:tc>
          <w:tcPr>
            <w:tcW w:w="753" w:type="dxa"/>
            <w:tcBorders>
              <w:top w:val="nil"/>
              <w:left w:val="nil"/>
              <w:bottom w:val="single" w:sz="4" w:space="0" w:color="auto"/>
              <w:right w:val="single" w:sz="4" w:space="0" w:color="auto"/>
            </w:tcBorders>
            <w:shd w:val="clear" w:color="000000" w:fill="FFC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9.1</w:t>
            </w:r>
          </w:p>
        </w:tc>
        <w:tc>
          <w:tcPr>
            <w:tcW w:w="753" w:type="dxa"/>
            <w:tcBorders>
              <w:top w:val="nil"/>
              <w:left w:val="nil"/>
              <w:bottom w:val="single" w:sz="4" w:space="0" w:color="auto"/>
              <w:right w:val="single" w:sz="4" w:space="0" w:color="auto"/>
            </w:tcBorders>
            <w:shd w:val="clear" w:color="000000" w:fill="FFC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8.8</w:t>
            </w:r>
          </w:p>
        </w:tc>
        <w:tc>
          <w:tcPr>
            <w:tcW w:w="753" w:type="dxa"/>
            <w:tcBorders>
              <w:top w:val="nil"/>
              <w:left w:val="nil"/>
              <w:bottom w:val="single" w:sz="4" w:space="0" w:color="auto"/>
              <w:right w:val="single" w:sz="4" w:space="0" w:color="auto"/>
            </w:tcBorders>
            <w:shd w:val="clear" w:color="000000" w:fill="FFC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10.9</w:t>
            </w:r>
          </w:p>
        </w:tc>
        <w:tc>
          <w:tcPr>
            <w:tcW w:w="753" w:type="dxa"/>
            <w:tcBorders>
              <w:top w:val="nil"/>
              <w:left w:val="nil"/>
              <w:bottom w:val="single" w:sz="4" w:space="0" w:color="auto"/>
              <w:right w:val="single" w:sz="4" w:space="0" w:color="auto"/>
            </w:tcBorders>
            <w:shd w:val="clear" w:color="000000" w:fill="FFC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9.6</w:t>
            </w:r>
          </w:p>
        </w:tc>
        <w:tc>
          <w:tcPr>
            <w:tcW w:w="753" w:type="dxa"/>
            <w:tcBorders>
              <w:top w:val="nil"/>
              <w:left w:val="nil"/>
              <w:bottom w:val="single" w:sz="4" w:space="0" w:color="auto"/>
              <w:right w:val="single" w:sz="8" w:space="0" w:color="auto"/>
            </w:tcBorders>
            <w:shd w:val="clear" w:color="000000" w:fill="FFC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8.7</w:t>
            </w:r>
          </w:p>
        </w:tc>
      </w:tr>
      <w:tr w:rsidTr="004547C8">
        <w:tblPrEx>
          <w:tblW w:w="9981" w:type="dxa"/>
          <w:tblInd w:w="108" w:type="dxa"/>
          <w:tblLook w:val="04A0"/>
        </w:tblPrEx>
        <w:trPr>
          <w:trHeight w:val="270"/>
        </w:trPr>
        <w:tc>
          <w:tcPr>
            <w:tcW w:w="1701" w:type="dxa"/>
            <w:tcBorders>
              <w:top w:val="nil"/>
              <w:left w:val="single" w:sz="8" w:space="0" w:color="auto"/>
              <w:bottom w:val="nil"/>
              <w:right w:val="single" w:sz="4" w:space="0" w:color="auto"/>
            </w:tcBorders>
            <w:shd w:val="clear" w:color="auto" w:fill="auto"/>
            <w:noWrap/>
            <w:vAlign w:val="bottom"/>
            <w:hideMark/>
          </w:tcPr>
          <w:p w:rsidR="003E2086" w:rsidRPr="0030691B" w:rsidP="004547C8">
            <w:pPr>
              <w:ind w:right="81"/>
              <w:rPr>
                <w:rFonts w:eastAsia="Times New Roman" w:cs="Arial"/>
                <w:sz w:val="20"/>
                <w:szCs w:val="20"/>
                <w:lang w:eastAsia="en-GB"/>
              </w:rPr>
            </w:pPr>
            <w:r w:rsidRPr="0030691B">
              <w:rPr>
                <w:rFonts w:eastAsia="Times New Roman" w:cs="Arial"/>
                <w:sz w:val="20"/>
                <w:szCs w:val="20"/>
                <w:lang w:eastAsia="en-GB"/>
              </w:rPr>
              <w:t>Wyre</w:t>
            </w:r>
          </w:p>
        </w:tc>
        <w:tc>
          <w:tcPr>
            <w:tcW w:w="752" w:type="dxa"/>
            <w:tcBorders>
              <w:top w:val="nil"/>
              <w:left w:val="nil"/>
              <w:bottom w:val="nil"/>
              <w:right w:val="single" w:sz="4" w:space="0" w:color="auto"/>
            </w:tcBorders>
            <w:shd w:val="clear" w:color="000000" w:fill="FFC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10.3</w:t>
            </w:r>
          </w:p>
        </w:tc>
        <w:tc>
          <w:tcPr>
            <w:tcW w:w="752" w:type="dxa"/>
            <w:tcBorders>
              <w:top w:val="nil"/>
              <w:left w:val="nil"/>
              <w:bottom w:val="nil"/>
              <w:right w:val="single" w:sz="4" w:space="0" w:color="auto"/>
            </w:tcBorders>
            <w:shd w:val="clear" w:color="000000" w:fill="BFBFBF"/>
            <w:noWrap/>
            <w:vAlign w:val="bottom"/>
            <w:hideMark/>
          </w:tcPr>
          <w:p w:rsidR="003E2086" w:rsidRPr="0030691B" w:rsidP="004547C8">
            <w:pPr>
              <w:ind w:right="81"/>
              <w:jc w:val="right"/>
              <w:rPr>
                <w:rFonts w:eastAsia="Times New Roman" w:cs="Arial"/>
                <w:sz w:val="18"/>
                <w:szCs w:val="18"/>
                <w:lang w:eastAsia="en-GB"/>
              </w:rPr>
            </w:pPr>
          </w:p>
        </w:tc>
        <w:tc>
          <w:tcPr>
            <w:tcW w:w="752" w:type="dxa"/>
            <w:tcBorders>
              <w:top w:val="nil"/>
              <w:left w:val="nil"/>
              <w:bottom w:val="nil"/>
              <w:right w:val="single" w:sz="4" w:space="0" w:color="auto"/>
            </w:tcBorders>
            <w:shd w:val="clear" w:color="000000" w:fill="BFBFBF"/>
            <w:noWrap/>
            <w:vAlign w:val="bottom"/>
            <w:hideMark/>
          </w:tcPr>
          <w:p w:rsidR="003E2086" w:rsidRPr="0030691B" w:rsidP="004547C8">
            <w:pPr>
              <w:ind w:right="81"/>
              <w:jc w:val="right"/>
              <w:rPr>
                <w:rFonts w:eastAsia="Times New Roman" w:cs="Arial"/>
                <w:sz w:val="18"/>
                <w:szCs w:val="18"/>
                <w:lang w:eastAsia="en-GB"/>
              </w:rPr>
            </w:pPr>
          </w:p>
        </w:tc>
        <w:tc>
          <w:tcPr>
            <w:tcW w:w="753" w:type="dxa"/>
            <w:tcBorders>
              <w:top w:val="nil"/>
              <w:left w:val="nil"/>
              <w:bottom w:val="nil"/>
              <w:right w:val="single" w:sz="4" w:space="0" w:color="auto"/>
            </w:tcBorders>
            <w:shd w:val="clear" w:color="000000" w:fill="FFC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10.0</w:t>
            </w:r>
          </w:p>
        </w:tc>
        <w:tc>
          <w:tcPr>
            <w:tcW w:w="753" w:type="dxa"/>
            <w:tcBorders>
              <w:top w:val="nil"/>
              <w:left w:val="nil"/>
              <w:bottom w:val="nil"/>
              <w:right w:val="single" w:sz="4" w:space="0" w:color="auto"/>
            </w:tcBorders>
            <w:shd w:val="clear" w:color="000000" w:fill="FFC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11.7</w:t>
            </w:r>
          </w:p>
        </w:tc>
        <w:tc>
          <w:tcPr>
            <w:tcW w:w="753" w:type="dxa"/>
            <w:tcBorders>
              <w:top w:val="nil"/>
              <w:left w:val="nil"/>
              <w:bottom w:val="nil"/>
              <w:right w:val="single" w:sz="4" w:space="0" w:color="auto"/>
            </w:tcBorders>
            <w:shd w:val="clear" w:color="000000" w:fill="FF0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13.7</w:t>
            </w:r>
          </w:p>
        </w:tc>
        <w:tc>
          <w:tcPr>
            <w:tcW w:w="753" w:type="dxa"/>
            <w:tcBorders>
              <w:top w:val="nil"/>
              <w:left w:val="nil"/>
              <w:bottom w:val="nil"/>
              <w:right w:val="single" w:sz="4" w:space="0" w:color="auto"/>
            </w:tcBorders>
            <w:shd w:val="clear" w:color="000000" w:fill="FFC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11.7</w:t>
            </w:r>
          </w:p>
        </w:tc>
        <w:tc>
          <w:tcPr>
            <w:tcW w:w="753" w:type="dxa"/>
            <w:tcBorders>
              <w:top w:val="nil"/>
              <w:left w:val="nil"/>
              <w:bottom w:val="nil"/>
              <w:right w:val="single" w:sz="4" w:space="0" w:color="auto"/>
            </w:tcBorders>
            <w:shd w:val="clear" w:color="000000" w:fill="FFC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10.1</w:t>
            </w:r>
          </w:p>
        </w:tc>
        <w:tc>
          <w:tcPr>
            <w:tcW w:w="753" w:type="dxa"/>
            <w:tcBorders>
              <w:top w:val="nil"/>
              <w:left w:val="nil"/>
              <w:bottom w:val="nil"/>
              <w:right w:val="single" w:sz="4" w:space="0" w:color="auto"/>
            </w:tcBorders>
            <w:shd w:val="clear" w:color="000000" w:fill="BFBFBF"/>
            <w:noWrap/>
            <w:vAlign w:val="bottom"/>
            <w:hideMark/>
          </w:tcPr>
          <w:p w:rsidR="003E2086" w:rsidRPr="0030691B" w:rsidP="004547C8">
            <w:pPr>
              <w:ind w:right="81"/>
              <w:jc w:val="right"/>
              <w:rPr>
                <w:rFonts w:eastAsia="Times New Roman" w:cs="Arial"/>
                <w:sz w:val="18"/>
                <w:szCs w:val="18"/>
                <w:lang w:eastAsia="en-GB"/>
              </w:rPr>
            </w:pPr>
          </w:p>
        </w:tc>
        <w:tc>
          <w:tcPr>
            <w:tcW w:w="753" w:type="dxa"/>
            <w:tcBorders>
              <w:top w:val="nil"/>
              <w:left w:val="nil"/>
              <w:bottom w:val="nil"/>
              <w:right w:val="single" w:sz="4" w:space="0" w:color="auto"/>
            </w:tcBorders>
            <w:shd w:val="clear" w:color="000000" w:fill="FFC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10.4</w:t>
            </w:r>
          </w:p>
        </w:tc>
        <w:tc>
          <w:tcPr>
            <w:tcW w:w="753" w:type="dxa"/>
            <w:tcBorders>
              <w:top w:val="nil"/>
              <w:left w:val="nil"/>
              <w:bottom w:val="nil"/>
              <w:right w:val="single" w:sz="8" w:space="0" w:color="auto"/>
            </w:tcBorders>
            <w:shd w:val="clear" w:color="000000" w:fill="FFC000"/>
            <w:noWrap/>
            <w:vAlign w:val="bottom"/>
            <w:hideMark/>
          </w:tcPr>
          <w:p w:rsidR="003E2086" w:rsidRPr="0030691B" w:rsidP="004547C8">
            <w:pPr>
              <w:ind w:right="81"/>
              <w:jc w:val="right"/>
              <w:rPr>
                <w:rFonts w:eastAsia="Times New Roman" w:cs="Arial"/>
                <w:sz w:val="18"/>
                <w:szCs w:val="18"/>
                <w:lang w:eastAsia="en-GB"/>
              </w:rPr>
            </w:pPr>
            <w:r w:rsidRPr="0030691B">
              <w:rPr>
                <w:rFonts w:eastAsia="Times New Roman" w:cs="Arial"/>
                <w:sz w:val="18"/>
                <w:szCs w:val="18"/>
                <w:lang w:eastAsia="en-GB"/>
              </w:rPr>
              <w:t>9.2</w:t>
            </w:r>
          </w:p>
        </w:tc>
      </w:tr>
      <w:tr w:rsidTr="004547C8">
        <w:tblPrEx>
          <w:tblW w:w="9981" w:type="dxa"/>
          <w:tblInd w:w="108" w:type="dxa"/>
          <w:tblLook w:val="04A0"/>
        </w:tblPrEx>
        <w:trPr>
          <w:trHeight w:val="270"/>
        </w:trPr>
        <w:tc>
          <w:tcPr>
            <w:tcW w:w="170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E2086" w:rsidRPr="0030691B" w:rsidP="004547C8">
            <w:pPr>
              <w:ind w:right="81"/>
              <w:rPr>
                <w:rFonts w:eastAsia="Times New Roman" w:cs="Arial"/>
                <w:b/>
                <w:bCs/>
                <w:sz w:val="20"/>
                <w:szCs w:val="20"/>
                <w:lang w:eastAsia="en-GB"/>
              </w:rPr>
            </w:pPr>
            <w:r w:rsidRPr="0030691B">
              <w:rPr>
                <w:rFonts w:eastAsia="Times New Roman" w:cs="Arial"/>
                <w:b/>
                <w:bCs/>
                <w:sz w:val="20"/>
                <w:szCs w:val="20"/>
                <w:lang w:eastAsia="en-GB"/>
              </w:rPr>
              <w:t>Lancashire</w:t>
            </w:r>
            <w:r>
              <w:rPr>
                <w:rFonts w:eastAsia="Times New Roman" w:cs="Arial"/>
                <w:b/>
                <w:bCs/>
                <w:sz w:val="20"/>
                <w:szCs w:val="20"/>
                <w:lang w:eastAsia="en-GB"/>
              </w:rPr>
              <w:t>-12</w:t>
            </w:r>
          </w:p>
        </w:tc>
        <w:tc>
          <w:tcPr>
            <w:tcW w:w="752" w:type="dxa"/>
            <w:tcBorders>
              <w:top w:val="single" w:sz="8" w:space="0" w:color="auto"/>
              <w:left w:val="nil"/>
              <w:bottom w:val="single" w:sz="8" w:space="0" w:color="auto"/>
              <w:right w:val="single" w:sz="4" w:space="0" w:color="auto"/>
            </w:tcBorders>
            <w:shd w:val="clear" w:color="000000" w:fill="FFC000"/>
            <w:noWrap/>
            <w:vAlign w:val="bottom"/>
            <w:hideMark/>
          </w:tcPr>
          <w:p w:rsidR="003E2086" w:rsidRPr="0030691B" w:rsidP="004547C8">
            <w:pPr>
              <w:ind w:right="81"/>
              <w:jc w:val="right"/>
              <w:rPr>
                <w:rFonts w:eastAsia="Times New Roman" w:cs="Arial"/>
                <w:b/>
                <w:bCs/>
                <w:sz w:val="18"/>
                <w:szCs w:val="18"/>
                <w:lang w:eastAsia="en-GB"/>
              </w:rPr>
            </w:pPr>
            <w:r w:rsidRPr="0030691B">
              <w:rPr>
                <w:rFonts w:eastAsia="Times New Roman" w:cs="Arial"/>
                <w:b/>
                <w:bCs/>
                <w:sz w:val="18"/>
                <w:szCs w:val="18"/>
                <w:lang w:eastAsia="en-GB"/>
              </w:rPr>
              <w:t>10.0</w:t>
            </w:r>
          </w:p>
        </w:tc>
        <w:tc>
          <w:tcPr>
            <w:tcW w:w="752" w:type="dxa"/>
            <w:tcBorders>
              <w:top w:val="single" w:sz="8" w:space="0" w:color="auto"/>
              <w:left w:val="nil"/>
              <w:bottom w:val="single" w:sz="8" w:space="0" w:color="auto"/>
              <w:right w:val="single" w:sz="4" w:space="0" w:color="auto"/>
            </w:tcBorders>
            <w:shd w:val="clear" w:color="000000" w:fill="FFC000"/>
            <w:noWrap/>
            <w:vAlign w:val="bottom"/>
            <w:hideMark/>
          </w:tcPr>
          <w:p w:rsidR="003E2086" w:rsidRPr="0030691B" w:rsidP="004547C8">
            <w:pPr>
              <w:ind w:right="81"/>
              <w:jc w:val="right"/>
              <w:rPr>
                <w:rFonts w:eastAsia="Times New Roman" w:cs="Arial"/>
                <w:b/>
                <w:bCs/>
                <w:sz w:val="18"/>
                <w:szCs w:val="18"/>
                <w:lang w:eastAsia="en-GB"/>
              </w:rPr>
            </w:pPr>
            <w:r w:rsidRPr="0030691B">
              <w:rPr>
                <w:rFonts w:eastAsia="Times New Roman" w:cs="Arial"/>
                <w:b/>
                <w:bCs/>
                <w:sz w:val="18"/>
                <w:szCs w:val="18"/>
                <w:lang w:eastAsia="en-GB"/>
              </w:rPr>
              <w:t>9.6</w:t>
            </w:r>
          </w:p>
        </w:tc>
        <w:tc>
          <w:tcPr>
            <w:tcW w:w="752" w:type="dxa"/>
            <w:tcBorders>
              <w:top w:val="single" w:sz="8" w:space="0" w:color="auto"/>
              <w:left w:val="nil"/>
              <w:bottom w:val="single" w:sz="8" w:space="0" w:color="auto"/>
              <w:right w:val="single" w:sz="4" w:space="0" w:color="auto"/>
            </w:tcBorders>
            <w:shd w:val="clear" w:color="000000" w:fill="FFC000"/>
            <w:noWrap/>
            <w:vAlign w:val="bottom"/>
            <w:hideMark/>
          </w:tcPr>
          <w:p w:rsidR="003E2086" w:rsidRPr="0030691B" w:rsidP="004547C8">
            <w:pPr>
              <w:ind w:right="81"/>
              <w:jc w:val="right"/>
              <w:rPr>
                <w:rFonts w:eastAsia="Times New Roman" w:cs="Arial"/>
                <w:b/>
                <w:bCs/>
                <w:sz w:val="18"/>
                <w:szCs w:val="18"/>
                <w:lang w:eastAsia="en-GB"/>
              </w:rPr>
            </w:pPr>
            <w:r w:rsidRPr="0030691B">
              <w:rPr>
                <w:rFonts w:eastAsia="Times New Roman" w:cs="Arial"/>
                <w:b/>
                <w:bCs/>
                <w:sz w:val="18"/>
                <w:szCs w:val="18"/>
                <w:lang w:eastAsia="en-GB"/>
              </w:rPr>
              <w:t>9.6</w:t>
            </w:r>
          </w:p>
        </w:tc>
        <w:tc>
          <w:tcPr>
            <w:tcW w:w="753" w:type="dxa"/>
            <w:tcBorders>
              <w:top w:val="single" w:sz="8" w:space="0" w:color="auto"/>
              <w:left w:val="nil"/>
              <w:bottom w:val="single" w:sz="8" w:space="0" w:color="auto"/>
              <w:right w:val="single" w:sz="4" w:space="0" w:color="auto"/>
            </w:tcBorders>
            <w:shd w:val="clear" w:color="000000" w:fill="FF0000"/>
            <w:noWrap/>
            <w:vAlign w:val="bottom"/>
            <w:hideMark/>
          </w:tcPr>
          <w:p w:rsidR="003E2086" w:rsidRPr="0030691B" w:rsidP="004547C8">
            <w:pPr>
              <w:ind w:right="81"/>
              <w:jc w:val="right"/>
              <w:rPr>
                <w:rFonts w:eastAsia="Times New Roman" w:cs="Arial"/>
                <w:b/>
                <w:bCs/>
                <w:sz w:val="18"/>
                <w:szCs w:val="18"/>
                <w:lang w:eastAsia="en-GB"/>
              </w:rPr>
            </w:pPr>
            <w:r w:rsidRPr="0030691B">
              <w:rPr>
                <w:rFonts w:eastAsia="Times New Roman" w:cs="Arial"/>
                <w:b/>
                <w:bCs/>
                <w:sz w:val="18"/>
                <w:szCs w:val="18"/>
                <w:lang w:eastAsia="en-GB"/>
              </w:rPr>
              <w:t>10.3</w:t>
            </w:r>
          </w:p>
        </w:tc>
        <w:tc>
          <w:tcPr>
            <w:tcW w:w="753" w:type="dxa"/>
            <w:tcBorders>
              <w:top w:val="single" w:sz="8" w:space="0" w:color="auto"/>
              <w:left w:val="nil"/>
              <w:bottom w:val="single" w:sz="8" w:space="0" w:color="auto"/>
              <w:right w:val="single" w:sz="4" w:space="0" w:color="auto"/>
            </w:tcBorders>
            <w:shd w:val="clear" w:color="000000" w:fill="FF0000"/>
            <w:noWrap/>
            <w:vAlign w:val="bottom"/>
            <w:hideMark/>
          </w:tcPr>
          <w:p w:rsidR="003E2086" w:rsidRPr="0030691B" w:rsidP="004547C8">
            <w:pPr>
              <w:ind w:right="81"/>
              <w:jc w:val="right"/>
              <w:rPr>
                <w:rFonts w:eastAsia="Times New Roman" w:cs="Arial"/>
                <w:b/>
                <w:bCs/>
                <w:sz w:val="18"/>
                <w:szCs w:val="18"/>
                <w:lang w:eastAsia="en-GB"/>
              </w:rPr>
            </w:pPr>
            <w:r w:rsidRPr="0030691B">
              <w:rPr>
                <w:rFonts w:eastAsia="Times New Roman" w:cs="Arial"/>
                <w:b/>
                <w:bCs/>
                <w:sz w:val="18"/>
                <w:szCs w:val="18"/>
                <w:lang w:eastAsia="en-GB"/>
              </w:rPr>
              <w:t>11.7</w:t>
            </w:r>
          </w:p>
        </w:tc>
        <w:tc>
          <w:tcPr>
            <w:tcW w:w="753" w:type="dxa"/>
            <w:tcBorders>
              <w:top w:val="single" w:sz="8" w:space="0" w:color="auto"/>
              <w:left w:val="nil"/>
              <w:bottom w:val="single" w:sz="8" w:space="0" w:color="auto"/>
              <w:right w:val="single" w:sz="4" w:space="0" w:color="auto"/>
            </w:tcBorders>
            <w:shd w:val="clear" w:color="000000" w:fill="FF0000"/>
            <w:noWrap/>
            <w:vAlign w:val="bottom"/>
            <w:hideMark/>
          </w:tcPr>
          <w:p w:rsidR="003E2086" w:rsidRPr="0030691B" w:rsidP="004547C8">
            <w:pPr>
              <w:ind w:right="81"/>
              <w:jc w:val="right"/>
              <w:rPr>
                <w:rFonts w:eastAsia="Times New Roman" w:cs="Arial"/>
                <w:b/>
                <w:bCs/>
                <w:sz w:val="18"/>
                <w:szCs w:val="18"/>
                <w:lang w:eastAsia="en-GB"/>
              </w:rPr>
            </w:pPr>
            <w:r w:rsidRPr="0030691B">
              <w:rPr>
                <w:rFonts w:eastAsia="Times New Roman" w:cs="Arial"/>
                <w:b/>
                <w:bCs/>
                <w:sz w:val="18"/>
                <w:szCs w:val="18"/>
                <w:lang w:eastAsia="en-GB"/>
              </w:rPr>
              <w:t>11.7</w:t>
            </w:r>
          </w:p>
        </w:tc>
        <w:tc>
          <w:tcPr>
            <w:tcW w:w="753" w:type="dxa"/>
            <w:tcBorders>
              <w:top w:val="single" w:sz="8" w:space="0" w:color="auto"/>
              <w:left w:val="nil"/>
              <w:bottom w:val="single" w:sz="8" w:space="0" w:color="auto"/>
              <w:right w:val="single" w:sz="4" w:space="0" w:color="auto"/>
            </w:tcBorders>
            <w:shd w:val="clear" w:color="000000" w:fill="FF0000"/>
            <w:noWrap/>
            <w:vAlign w:val="bottom"/>
            <w:hideMark/>
          </w:tcPr>
          <w:p w:rsidR="003E2086" w:rsidRPr="0030691B" w:rsidP="004547C8">
            <w:pPr>
              <w:ind w:right="81"/>
              <w:jc w:val="right"/>
              <w:rPr>
                <w:rFonts w:eastAsia="Times New Roman" w:cs="Arial"/>
                <w:b/>
                <w:bCs/>
                <w:sz w:val="18"/>
                <w:szCs w:val="18"/>
                <w:lang w:eastAsia="en-GB"/>
              </w:rPr>
            </w:pPr>
            <w:r w:rsidRPr="0030691B">
              <w:rPr>
                <w:rFonts w:eastAsia="Times New Roman" w:cs="Arial"/>
                <w:b/>
                <w:bCs/>
                <w:sz w:val="18"/>
                <w:szCs w:val="18"/>
                <w:lang w:eastAsia="en-GB"/>
              </w:rPr>
              <w:t>11.1</w:t>
            </w:r>
          </w:p>
        </w:tc>
        <w:tc>
          <w:tcPr>
            <w:tcW w:w="753" w:type="dxa"/>
            <w:tcBorders>
              <w:top w:val="single" w:sz="8" w:space="0" w:color="auto"/>
              <w:left w:val="nil"/>
              <w:bottom w:val="single" w:sz="8" w:space="0" w:color="auto"/>
              <w:right w:val="single" w:sz="4" w:space="0" w:color="auto"/>
            </w:tcBorders>
            <w:shd w:val="clear" w:color="000000" w:fill="FF0000"/>
            <w:noWrap/>
            <w:vAlign w:val="bottom"/>
            <w:hideMark/>
          </w:tcPr>
          <w:p w:rsidR="003E2086" w:rsidRPr="0030691B" w:rsidP="004547C8">
            <w:pPr>
              <w:ind w:right="81"/>
              <w:jc w:val="right"/>
              <w:rPr>
                <w:rFonts w:eastAsia="Times New Roman" w:cs="Arial"/>
                <w:b/>
                <w:bCs/>
                <w:sz w:val="18"/>
                <w:szCs w:val="18"/>
                <w:lang w:eastAsia="en-GB"/>
              </w:rPr>
            </w:pPr>
            <w:r w:rsidRPr="0030691B">
              <w:rPr>
                <w:rFonts w:eastAsia="Times New Roman" w:cs="Arial"/>
                <w:b/>
                <w:bCs/>
                <w:sz w:val="18"/>
                <w:szCs w:val="18"/>
                <w:lang w:eastAsia="en-GB"/>
              </w:rPr>
              <w:t>11.1</w:t>
            </w:r>
          </w:p>
        </w:tc>
        <w:tc>
          <w:tcPr>
            <w:tcW w:w="753" w:type="dxa"/>
            <w:tcBorders>
              <w:top w:val="single" w:sz="8" w:space="0" w:color="auto"/>
              <w:left w:val="nil"/>
              <w:bottom w:val="single" w:sz="8" w:space="0" w:color="auto"/>
              <w:right w:val="single" w:sz="4" w:space="0" w:color="auto"/>
            </w:tcBorders>
            <w:shd w:val="clear" w:color="000000" w:fill="FF0000"/>
            <w:noWrap/>
            <w:vAlign w:val="bottom"/>
            <w:hideMark/>
          </w:tcPr>
          <w:p w:rsidR="003E2086" w:rsidRPr="0030691B" w:rsidP="004547C8">
            <w:pPr>
              <w:ind w:right="81"/>
              <w:jc w:val="right"/>
              <w:rPr>
                <w:rFonts w:eastAsia="Times New Roman" w:cs="Arial"/>
                <w:b/>
                <w:bCs/>
                <w:sz w:val="18"/>
                <w:szCs w:val="18"/>
                <w:lang w:eastAsia="en-GB"/>
              </w:rPr>
            </w:pPr>
            <w:r w:rsidRPr="0030691B">
              <w:rPr>
                <w:rFonts w:eastAsia="Times New Roman" w:cs="Arial"/>
                <w:b/>
                <w:bCs/>
                <w:sz w:val="18"/>
                <w:szCs w:val="18"/>
                <w:lang w:eastAsia="en-GB"/>
              </w:rPr>
              <w:t>11.4</w:t>
            </w:r>
          </w:p>
        </w:tc>
        <w:tc>
          <w:tcPr>
            <w:tcW w:w="753" w:type="dxa"/>
            <w:tcBorders>
              <w:top w:val="single" w:sz="8" w:space="0" w:color="auto"/>
              <w:left w:val="nil"/>
              <w:bottom w:val="single" w:sz="8" w:space="0" w:color="auto"/>
              <w:right w:val="single" w:sz="4" w:space="0" w:color="auto"/>
            </w:tcBorders>
            <w:shd w:val="clear" w:color="000000" w:fill="FF0000"/>
            <w:noWrap/>
            <w:vAlign w:val="bottom"/>
            <w:hideMark/>
          </w:tcPr>
          <w:p w:rsidR="003E2086" w:rsidRPr="0030691B" w:rsidP="004547C8">
            <w:pPr>
              <w:ind w:right="81"/>
              <w:jc w:val="right"/>
              <w:rPr>
                <w:rFonts w:eastAsia="Times New Roman" w:cs="Arial"/>
                <w:b/>
                <w:bCs/>
                <w:sz w:val="18"/>
                <w:szCs w:val="18"/>
                <w:lang w:eastAsia="en-GB"/>
              </w:rPr>
            </w:pPr>
            <w:r w:rsidRPr="0030691B">
              <w:rPr>
                <w:rFonts w:eastAsia="Times New Roman" w:cs="Arial"/>
                <w:b/>
                <w:bCs/>
                <w:sz w:val="18"/>
                <w:szCs w:val="18"/>
                <w:lang w:eastAsia="en-GB"/>
              </w:rPr>
              <w:t>11.9</w:t>
            </w:r>
          </w:p>
        </w:tc>
        <w:tc>
          <w:tcPr>
            <w:tcW w:w="753" w:type="dxa"/>
            <w:tcBorders>
              <w:top w:val="single" w:sz="8" w:space="0" w:color="auto"/>
              <w:left w:val="nil"/>
              <w:bottom w:val="single" w:sz="8" w:space="0" w:color="auto"/>
              <w:right w:val="single" w:sz="8" w:space="0" w:color="auto"/>
            </w:tcBorders>
            <w:shd w:val="clear" w:color="000000" w:fill="FF0000"/>
            <w:noWrap/>
            <w:vAlign w:val="bottom"/>
            <w:hideMark/>
          </w:tcPr>
          <w:p w:rsidR="003E2086" w:rsidRPr="0030691B" w:rsidP="004547C8">
            <w:pPr>
              <w:ind w:right="81"/>
              <w:jc w:val="right"/>
              <w:rPr>
                <w:rFonts w:eastAsia="Times New Roman" w:cs="Arial"/>
                <w:b/>
                <w:bCs/>
                <w:sz w:val="18"/>
                <w:szCs w:val="18"/>
                <w:lang w:eastAsia="en-GB"/>
              </w:rPr>
            </w:pPr>
            <w:r w:rsidRPr="0030691B">
              <w:rPr>
                <w:rFonts w:eastAsia="Times New Roman" w:cs="Arial"/>
                <w:b/>
                <w:bCs/>
                <w:sz w:val="18"/>
                <w:szCs w:val="18"/>
                <w:lang w:eastAsia="en-GB"/>
              </w:rPr>
              <w:t>11.6</w:t>
            </w:r>
          </w:p>
        </w:tc>
      </w:tr>
      <w:tr w:rsidTr="004547C8">
        <w:tblPrEx>
          <w:tblW w:w="9981" w:type="dxa"/>
          <w:tblInd w:w="108" w:type="dxa"/>
          <w:tblLook w:val="04A0"/>
        </w:tblPrEx>
        <w:trPr>
          <w:trHeight w:val="270"/>
        </w:trPr>
        <w:tc>
          <w:tcPr>
            <w:tcW w:w="170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E2086" w:rsidRPr="0030691B" w:rsidP="004547C8">
            <w:pPr>
              <w:ind w:right="81"/>
              <w:rPr>
                <w:rFonts w:eastAsia="Times New Roman" w:cs="Arial"/>
                <w:b/>
                <w:bCs/>
                <w:sz w:val="20"/>
                <w:szCs w:val="20"/>
                <w:lang w:eastAsia="en-GB"/>
              </w:rPr>
            </w:pPr>
            <w:r w:rsidRPr="0030691B">
              <w:rPr>
                <w:rFonts w:eastAsia="Times New Roman" w:cs="Arial"/>
                <w:b/>
                <w:bCs/>
                <w:sz w:val="20"/>
                <w:szCs w:val="20"/>
                <w:lang w:eastAsia="en-GB"/>
              </w:rPr>
              <w:t>England</w:t>
            </w:r>
          </w:p>
        </w:tc>
        <w:tc>
          <w:tcPr>
            <w:tcW w:w="752" w:type="dxa"/>
            <w:tcBorders>
              <w:top w:val="single" w:sz="8" w:space="0" w:color="auto"/>
              <w:left w:val="nil"/>
              <w:bottom w:val="single" w:sz="8" w:space="0" w:color="auto"/>
              <w:right w:val="single" w:sz="4" w:space="0" w:color="auto"/>
            </w:tcBorders>
            <w:shd w:val="clear" w:color="auto" w:fill="auto"/>
            <w:noWrap/>
            <w:vAlign w:val="bottom"/>
            <w:hideMark/>
          </w:tcPr>
          <w:p w:rsidR="003E2086" w:rsidRPr="0030691B" w:rsidP="004547C8">
            <w:pPr>
              <w:ind w:right="81"/>
              <w:jc w:val="right"/>
              <w:rPr>
                <w:rFonts w:eastAsia="Times New Roman" w:cs="Arial"/>
                <w:b/>
                <w:bCs/>
                <w:sz w:val="18"/>
                <w:szCs w:val="18"/>
                <w:lang w:eastAsia="en-GB"/>
              </w:rPr>
            </w:pPr>
            <w:r w:rsidRPr="0030691B">
              <w:rPr>
                <w:rFonts w:eastAsia="Times New Roman" w:cs="Arial"/>
                <w:b/>
                <w:bCs/>
                <w:sz w:val="18"/>
                <w:szCs w:val="18"/>
                <w:lang w:eastAsia="en-GB"/>
              </w:rPr>
              <w:t>10.1</w:t>
            </w:r>
          </w:p>
        </w:tc>
        <w:tc>
          <w:tcPr>
            <w:tcW w:w="752" w:type="dxa"/>
            <w:tcBorders>
              <w:top w:val="single" w:sz="8" w:space="0" w:color="auto"/>
              <w:left w:val="nil"/>
              <w:bottom w:val="single" w:sz="8" w:space="0" w:color="auto"/>
              <w:right w:val="single" w:sz="4" w:space="0" w:color="auto"/>
            </w:tcBorders>
            <w:shd w:val="clear" w:color="auto" w:fill="auto"/>
            <w:noWrap/>
            <w:vAlign w:val="bottom"/>
            <w:hideMark/>
          </w:tcPr>
          <w:p w:rsidR="003E2086" w:rsidRPr="0030691B" w:rsidP="004547C8">
            <w:pPr>
              <w:ind w:right="81"/>
              <w:jc w:val="right"/>
              <w:rPr>
                <w:rFonts w:eastAsia="Times New Roman" w:cs="Arial"/>
                <w:b/>
                <w:bCs/>
                <w:sz w:val="18"/>
                <w:szCs w:val="18"/>
                <w:lang w:eastAsia="en-GB"/>
              </w:rPr>
            </w:pPr>
            <w:r w:rsidRPr="0030691B">
              <w:rPr>
                <w:rFonts w:eastAsia="Times New Roman" w:cs="Arial"/>
                <w:b/>
                <w:bCs/>
                <w:sz w:val="18"/>
                <w:szCs w:val="18"/>
                <w:lang w:eastAsia="en-GB"/>
              </w:rPr>
              <w:t>9.8</w:t>
            </w:r>
          </w:p>
        </w:tc>
        <w:tc>
          <w:tcPr>
            <w:tcW w:w="752" w:type="dxa"/>
            <w:tcBorders>
              <w:top w:val="single" w:sz="8" w:space="0" w:color="auto"/>
              <w:left w:val="nil"/>
              <w:bottom w:val="single" w:sz="8" w:space="0" w:color="auto"/>
              <w:right w:val="single" w:sz="4" w:space="0" w:color="auto"/>
            </w:tcBorders>
            <w:shd w:val="clear" w:color="auto" w:fill="auto"/>
            <w:noWrap/>
            <w:vAlign w:val="bottom"/>
            <w:hideMark/>
          </w:tcPr>
          <w:p w:rsidR="003E2086" w:rsidRPr="0030691B" w:rsidP="004547C8">
            <w:pPr>
              <w:ind w:right="81"/>
              <w:jc w:val="right"/>
              <w:rPr>
                <w:rFonts w:eastAsia="Times New Roman" w:cs="Arial"/>
                <w:b/>
                <w:bCs/>
                <w:sz w:val="18"/>
                <w:szCs w:val="18"/>
                <w:lang w:eastAsia="en-GB"/>
              </w:rPr>
            </w:pPr>
            <w:r w:rsidRPr="0030691B">
              <w:rPr>
                <w:rFonts w:eastAsia="Times New Roman" w:cs="Arial"/>
                <w:b/>
                <w:bCs/>
                <w:sz w:val="18"/>
                <w:szCs w:val="18"/>
                <w:lang w:eastAsia="en-GB"/>
              </w:rPr>
              <w:t>9.4</w:t>
            </w:r>
          </w:p>
        </w:tc>
        <w:tc>
          <w:tcPr>
            <w:tcW w:w="753" w:type="dxa"/>
            <w:tcBorders>
              <w:top w:val="single" w:sz="8" w:space="0" w:color="auto"/>
              <w:left w:val="nil"/>
              <w:bottom w:val="single" w:sz="8" w:space="0" w:color="auto"/>
              <w:right w:val="single" w:sz="4" w:space="0" w:color="auto"/>
            </w:tcBorders>
            <w:shd w:val="clear" w:color="auto" w:fill="auto"/>
            <w:noWrap/>
            <w:vAlign w:val="bottom"/>
            <w:hideMark/>
          </w:tcPr>
          <w:p w:rsidR="003E2086" w:rsidRPr="0030691B" w:rsidP="004547C8">
            <w:pPr>
              <w:ind w:right="81"/>
              <w:jc w:val="right"/>
              <w:rPr>
                <w:rFonts w:eastAsia="Times New Roman" w:cs="Arial"/>
                <w:b/>
                <w:bCs/>
                <w:sz w:val="18"/>
                <w:szCs w:val="18"/>
                <w:lang w:eastAsia="en-GB"/>
              </w:rPr>
            </w:pPr>
            <w:r w:rsidRPr="0030691B">
              <w:rPr>
                <w:rFonts w:eastAsia="Times New Roman" w:cs="Arial"/>
                <w:b/>
                <w:bCs/>
                <w:sz w:val="18"/>
                <w:szCs w:val="18"/>
                <w:lang w:eastAsia="en-GB"/>
              </w:rPr>
              <w:t>9.2</w:t>
            </w:r>
          </w:p>
        </w:tc>
        <w:tc>
          <w:tcPr>
            <w:tcW w:w="753" w:type="dxa"/>
            <w:tcBorders>
              <w:top w:val="single" w:sz="8" w:space="0" w:color="auto"/>
              <w:left w:val="nil"/>
              <w:bottom w:val="single" w:sz="8" w:space="0" w:color="auto"/>
              <w:right w:val="single" w:sz="4" w:space="0" w:color="auto"/>
            </w:tcBorders>
            <w:shd w:val="clear" w:color="auto" w:fill="auto"/>
            <w:noWrap/>
            <w:vAlign w:val="bottom"/>
            <w:hideMark/>
          </w:tcPr>
          <w:p w:rsidR="003E2086" w:rsidRPr="0030691B" w:rsidP="004547C8">
            <w:pPr>
              <w:ind w:right="81"/>
              <w:jc w:val="right"/>
              <w:rPr>
                <w:rFonts w:eastAsia="Times New Roman" w:cs="Arial"/>
                <w:b/>
                <w:bCs/>
                <w:sz w:val="18"/>
                <w:szCs w:val="18"/>
                <w:lang w:eastAsia="en-GB"/>
              </w:rPr>
            </w:pPr>
            <w:r w:rsidRPr="0030691B">
              <w:rPr>
                <w:rFonts w:eastAsia="Times New Roman" w:cs="Arial"/>
                <w:b/>
                <w:bCs/>
                <w:sz w:val="18"/>
                <w:szCs w:val="18"/>
                <w:lang w:eastAsia="en-GB"/>
              </w:rPr>
              <w:t>9.3</w:t>
            </w:r>
          </w:p>
        </w:tc>
        <w:tc>
          <w:tcPr>
            <w:tcW w:w="753" w:type="dxa"/>
            <w:tcBorders>
              <w:top w:val="single" w:sz="8" w:space="0" w:color="auto"/>
              <w:left w:val="nil"/>
              <w:bottom w:val="single" w:sz="8" w:space="0" w:color="auto"/>
              <w:right w:val="single" w:sz="4" w:space="0" w:color="auto"/>
            </w:tcBorders>
            <w:shd w:val="clear" w:color="auto" w:fill="auto"/>
            <w:noWrap/>
            <w:vAlign w:val="bottom"/>
            <w:hideMark/>
          </w:tcPr>
          <w:p w:rsidR="003E2086" w:rsidRPr="0030691B" w:rsidP="004547C8">
            <w:pPr>
              <w:ind w:right="81"/>
              <w:jc w:val="right"/>
              <w:rPr>
                <w:rFonts w:eastAsia="Times New Roman" w:cs="Arial"/>
                <w:b/>
                <w:bCs/>
                <w:sz w:val="18"/>
                <w:szCs w:val="18"/>
                <w:lang w:eastAsia="en-GB"/>
              </w:rPr>
            </w:pPr>
            <w:r w:rsidRPr="0030691B">
              <w:rPr>
                <w:rFonts w:eastAsia="Times New Roman" w:cs="Arial"/>
                <w:b/>
                <w:bCs/>
                <w:sz w:val="18"/>
                <w:szCs w:val="18"/>
                <w:lang w:eastAsia="en-GB"/>
              </w:rPr>
              <w:t>9.4</w:t>
            </w:r>
          </w:p>
        </w:tc>
        <w:tc>
          <w:tcPr>
            <w:tcW w:w="753" w:type="dxa"/>
            <w:tcBorders>
              <w:top w:val="single" w:sz="8" w:space="0" w:color="auto"/>
              <w:left w:val="nil"/>
              <w:bottom w:val="single" w:sz="8" w:space="0" w:color="auto"/>
              <w:right w:val="single" w:sz="4" w:space="0" w:color="auto"/>
            </w:tcBorders>
            <w:shd w:val="clear" w:color="auto" w:fill="auto"/>
            <w:noWrap/>
            <w:vAlign w:val="bottom"/>
            <w:hideMark/>
          </w:tcPr>
          <w:p w:rsidR="003E2086" w:rsidRPr="0030691B" w:rsidP="004547C8">
            <w:pPr>
              <w:ind w:right="81"/>
              <w:jc w:val="right"/>
              <w:rPr>
                <w:rFonts w:eastAsia="Times New Roman" w:cs="Arial"/>
                <w:b/>
                <w:bCs/>
                <w:sz w:val="18"/>
                <w:szCs w:val="18"/>
                <w:lang w:eastAsia="en-GB"/>
              </w:rPr>
            </w:pPr>
            <w:r w:rsidRPr="0030691B">
              <w:rPr>
                <w:rFonts w:eastAsia="Times New Roman" w:cs="Arial"/>
                <w:b/>
                <w:bCs/>
                <w:sz w:val="18"/>
                <w:szCs w:val="18"/>
                <w:lang w:eastAsia="en-GB"/>
              </w:rPr>
              <w:t>9.5</w:t>
            </w:r>
          </w:p>
        </w:tc>
        <w:tc>
          <w:tcPr>
            <w:tcW w:w="753" w:type="dxa"/>
            <w:tcBorders>
              <w:top w:val="single" w:sz="8" w:space="0" w:color="auto"/>
              <w:left w:val="nil"/>
              <w:bottom w:val="single" w:sz="8" w:space="0" w:color="auto"/>
              <w:right w:val="single" w:sz="4" w:space="0" w:color="auto"/>
            </w:tcBorders>
            <w:shd w:val="clear" w:color="auto" w:fill="auto"/>
            <w:noWrap/>
            <w:vAlign w:val="bottom"/>
            <w:hideMark/>
          </w:tcPr>
          <w:p w:rsidR="003E2086" w:rsidRPr="0030691B" w:rsidP="004547C8">
            <w:pPr>
              <w:ind w:right="81"/>
              <w:jc w:val="right"/>
              <w:rPr>
                <w:rFonts w:eastAsia="Times New Roman" w:cs="Arial"/>
                <w:b/>
                <w:bCs/>
                <w:sz w:val="18"/>
                <w:szCs w:val="18"/>
                <w:lang w:eastAsia="en-GB"/>
              </w:rPr>
            </w:pPr>
            <w:r w:rsidRPr="0030691B">
              <w:rPr>
                <w:rFonts w:eastAsia="Times New Roman" w:cs="Arial"/>
                <w:b/>
                <w:bCs/>
                <w:sz w:val="18"/>
                <w:szCs w:val="18"/>
                <w:lang w:eastAsia="en-GB"/>
              </w:rPr>
              <w:t>9.5</w:t>
            </w:r>
          </w:p>
        </w:tc>
        <w:tc>
          <w:tcPr>
            <w:tcW w:w="753" w:type="dxa"/>
            <w:tcBorders>
              <w:top w:val="single" w:sz="8" w:space="0" w:color="auto"/>
              <w:left w:val="nil"/>
              <w:bottom w:val="single" w:sz="8" w:space="0" w:color="auto"/>
              <w:right w:val="single" w:sz="4" w:space="0" w:color="auto"/>
            </w:tcBorders>
            <w:shd w:val="clear" w:color="auto" w:fill="auto"/>
            <w:noWrap/>
            <w:vAlign w:val="bottom"/>
            <w:hideMark/>
          </w:tcPr>
          <w:p w:rsidR="003E2086" w:rsidRPr="0030691B" w:rsidP="004547C8">
            <w:pPr>
              <w:ind w:right="81"/>
              <w:jc w:val="right"/>
              <w:rPr>
                <w:rFonts w:eastAsia="Times New Roman" w:cs="Arial"/>
                <w:b/>
                <w:bCs/>
                <w:sz w:val="18"/>
                <w:szCs w:val="18"/>
                <w:lang w:eastAsia="en-GB"/>
              </w:rPr>
            </w:pPr>
            <w:r w:rsidRPr="0030691B">
              <w:rPr>
                <w:rFonts w:eastAsia="Times New Roman" w:cs="Arial"/>
                <w:b/>
                <w:bCs/>
                <w:sz w:val="18"/>
                <w:szCs w:val="18"/>
                <w:lang w:eastAsia="en-GB"/>
              </w:rPr>
              <w:t>9.8</w:t>
            </w:r>
          </w:p>
        </w:tc>
        <w:tc>
          <w:tcPr>
            <w:tcW w:w="753" w:type="dxa"/>
            <w:tcBorders>
              <w:top w:val="single" w:sz="8" w:space="0" w:color="auto"/>
              <w:left w:val="nil"/>
              <w:bottom w:val="single" w:sz="8" w:space="0" w:color="auto"/>
              <w:right w:val="single" w:sz="4" w:space="0" w:color="auto"/>
            </w:tcBorders>
            <w:shd w:val="clear" w:color="auto" w:fill="auto"/>
            <w:noWrap/>
            <w:vAlign w:val="bottom"/>
            <w:hideMark/>
          </w:tcPr>
          <w:p w:rsidR="003E2086" w:rsidRPr="0030691B" w:rsidP="004547C8">
            <w:pPr>
              <w:ind w:right="81"/>
              <w:jc w:val="right"/>
              <w:rPr>
                <w:rFonts w:eastAsia="Times New Roman" w:cs="Arial"/>
                <w:b/>
                <w:bCs/>
                <w:sz w:val="18"/>
                <w:szCs w:val="18"/>
                <w:lang w:eastAsia="en-GB"/>
              </w:rPr>
            </w:pPr>
            <w:r w:rsidRPr="0030691B">
              <w:rPr>
                <w:rFonts w:eastAsia="Times New Roman" w:cs="Arial"/>
                <w:b/>
                <w:bCs/>
                <w:sz w:val="18"/>
                <w:szCs w:val="18"/>
                <w:lang w:eastAsia="en-GB"/>
              </w:rPr>
              <w:t>10.0</w:t>
            </w:r>
          </w:p>
        </w:tc>
        <w:tc>
          <w:tcPr>
            <w:tcW w:w="753" w:type="dxa"/>
            <w:tcBorders>
              <w:top w:val="single" w:sz="8" w:space="0" w:color="auto"/>
              <w:left w:val="nil"/>
              <w:bottom w:val="single" w:sz="8" w:space="0" w:color="auto"/>
              <w:right w:val="single" w:sz="8" w:space="0" w:color="auto"/>
            </w:tcBorders>
            <w:shd w:val="clear" w:color="auto" w:fill="auto"/>
            <w:noWrap/>
            <w:vAlign w:val="bottom"/>
            <w:hideMark/>
          </w:tcPr>
          <w:p w:rsidR="003E2086" w:rsidRPr="0030691B" w:rsidP="004547C8">
            <w:pPr>
              <w:ind w:right="81"/>
              <w:jc w:val="right"/>
              <w:rPr>
                <w:rFonts w:eastAsia="Times New Roman" w:cs="Arial"/>
                <w:b/>
                <w:bCs/>
                <w:sz w:val="18"/>
                <w:szCs w:val="18"/>
                <w:lang w:eastAsia="en-GB"/>
              </w:rPr>
            </w:pPr>
            <w:r w:rsidRPr="0030691B">
              <w:rPr>
                <w:rFonts w:eastAsia="Times New Roman" w:cs="Arial"/>
                <w:b/>
                <w:bCs/>
                <w:sz w:val="18"/>
                <w:szCs w:val="18"/>
                <w:lang w:eastAsia="en-GB"/>
              </w:rPr>
              <w:t>10.1</w:t>
            </w:r>
          </w:p>
        </w:tc>
      </w:tr>
    </w:tbl>
    <w:p w:rsidR="003E2086" w:rsidRPr="0030691B" w:rsidP="003E2086">
      <w:pPr>
        <w:ind w:right="81"/>
        <w:rPr>
          <w:rFonts w:cs="Arial"/>
          <w:sz w:val="20"/>
          <w:szCs w:val="20"/>
        </w:rPr>
      </w:pPr>
      <w:r w:rsidRPr="0030691B">
        <w:rPr>
          <w:rFonts w:cs="Arial"/>
          <w:noProof/>
          <w:sz w:val="20"/>
          <w:szCs w:val="20"/>
          <w:lang w:eastAsia="en-GB"/>
        </w:rPr>
        <w:drawing>
          <wp:anchor distT="0" distB="0" distL="114300" distR="114300" simplePos="0" relativeHeight="251659264" behindDoc="1" locked="0" layoutInCell="1" allowOverlap="1">
            <wp:simplePos x="0" y="0"/>
            <wp:positionH relativeFrom="column">
              <wp:posOffset>3996690</wp:posOffset>
            </wp:positionH>
            <wp:positionV relativeFrom="paragraph">
              <wp:posOffset>19050</wp:posOffset>
            </wp:positionV>
            <wp:extent cx="2370455" cy="304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237045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691B">
        <w:rPr>
          <w:rFonts w:cs="Arial"/>
          <w:sz w:val="20"/>
          <w:szCs w:val="20"/>
        </w:rPr>
        <w:t>Source: P</w:t>
      </w:r>
      <w:r>
        <w:rPr>
          <w:rFonts w:cs="Arial"/>
          <w:sz w:val="20"/>
          <w:szCs w:val="20"/>
        </w:rPr>
        <w:t xml:space="preserve">ublic </w:t>
      </w:r>
      <w:r w:rsidRPr="0030691B">
        <w:rPr>
          <w:rFonts w:cs="Arial"/>
          <w:sz w:val="20"/>
          <w:szCs w:val="20"/>
        </w:rPr>
        <w:t>H</w:t>
      </w:r>
      <w:r>
        <w:rPr>
          <w:rFonts w:cs="Arial"/>
          <w:sz w:val="20"/>
          <w:szCs w:val="20"/>
        </w:rPr>
        <w:t xml:space="preserve">ealth </w:t>
      </w:r>
      <w:r w:rsidRPr="0030691B">
        <w:rPr>
          <w:rFonts w:cs="Arial"/>
          <w:sz w:val="20"/>
          <w:szCs w:val="20"/>
        </w:rPr>
        <w:t>E</w:t>
      </w:r>
      <w:r>
        <w:rPr>
          <w:rFonts w:cs="Arial"/>
          <w:sz w:val="20"/>
          <w:szCs w:val="20"/>
        </w:rPr>
        <w:t>ngland</w:t>
      </w:r>
      <w:r w:rsidRPr="0030691B">
        <w:rPr>
          <w:rFonts w:cs="Arial"/>
          <w:sz w:val="20"/>
          <w:szCs w:val="20"/>
        </w:rPr>
        <w:t>,</w:t>
      </w:r>
      <w:r w:rsidRPr="0030691B">
        <w:rPr>
          <w:rFonts w:cs="Arial"/>
          <w:sz w:val="20"/>
          <w:szCs w:val="20"/>
        </w:rPr>
        <w:t xml:space="preserve"> P</w:t>
      </w:r>
      <w:r>
        <w:rPr>
          <w:rFonts w:cs="Arial"/>
          <w:sz w:val="20"/>
          <w:szCs w:val="20"/>
        </w:rPr>
        <w:t xml:space="preserve">ublic </w:t>
      </w:r>
      <w:r w:rsidRPr="0030691B">
        <w:rPr>
          <w:rFonts w:cs="Arial"/>
          <w:sz w:val="20"/>
          <w:szCs w:val="20"/>
        </w:rPr>
        <w:t>H</w:t>
      </w:r>
      <w:r>
        <w:rPr>
          <w:rFonts w:cs="Arial"/>
          <w:sz w:val="20"/>
          <w:szCs w:val="20"/>
        </w:rPr>
        <w:t xml:space="preserve">ealth </w:t>
      </w:r>
      <w:r w:rsidRPr="0030691B">
        <w:rPr>
          <w:rFonts w:cs="Arial"/>
          <w:sz w:val="20"/>
          <w:szCs w:val="20"/>
        </w:rPr>
        <w:t>O</w:t>
      </w:r>
      <w:r>
        <w:rPr>
          <w:rFonts w:cs="Arial"/>
          <w:sz w:val="20"/>
          <w:szCs w:val="20"/>
        </w:rPr>
        <w:t xml:space="preserve">utcomes </w:t>
      </w:r>
      <w:r w:rsidRPr="0030691B">
        <w:rPr>
          <w:rFonts w:cs="Arial"/>
          <w:sz w:val="20"/>
          <w:szCs w:val="20"/>
        </w:rPr>
        <w:t>F</w:t>
      </w:r>
      <w:r>
        <w:rPr>
          <w:rFonts w:cs="Arial"/>
          <w:sz w:val="20"/>
          <w:szCs w:val="20"/>
        </w:rPr>
        <w:t>ramework</w:t>
      </w:r>
    </w:p>
    <w:p w:rsidR="003E2086" w:rsidRPr="00014D3B" w:rsidP="003E2086">
      <w:pPr>
        <w:tabs>
          <w:tab w:val="left" w:pos="1815"/>
        </w:tabs>
        <w:ind w:right="81"/>
        <w:rPr>
          <w:rFonts w:cs="Arial"/>
        </w:rPr>
      </w:pPr>
      <w:r w:rsidRPr="00014D3B">
        <w:rPr>
          <w:rFonts w:cs="Arial"/>
        </w:rPr>
        <w:tab/>
      </w:r>
    </w:p>
    <w:p w:rsidR="003E2086" w:rsidRPr="00014D3B" w:rsidP="003E2086">
      <w:pPr>
        <w:pStyle w:val="Caption"/>
        <w:ind w:right="81"/>
        <w:rPr>
          <w:rFonts w:cs="Arial"/>
          <w:sz w:val="22"/>
          <w:szCs w:val="22"/>
        </w:rPr>
      </w:pPr>
    </w:p>
    <w:p w:rsidR="003E2086" w:rsidRPr="003E2086" w:rsidP="003E2086">
      <w:pPr>
        <w:pStyle w:val="Caption"/>
        <w:ind w:right="81"/>
        <w:rPr>
          <w:rFonts w:asciiTheme="minorHAnsi" w:hAnsiTheme="minorHAnsi" w:cs="Arial"/>
          <w:sz w:val="22"/>
          <w:szCs w:val="22"/>
        </w:rPr>
      </w:pPr>
      <w:r>
        <w:rPr>
          <w:rFonts w:cs="Arial"/>
          <w:sz w:val="22"/>
          <w:szCs w:val="22"/>
        </w:rPr>
        <w:br w:type="page"/>
      </w:r>
      <w:bookmarkStart w:id="5" w:name="_Toc483899708"/>
      <w:r w:rsidRPr="003E2086">
        <w:rPr>
          <w:rFonts w:asciiTheme="minorHAnsi" w:hAnsiTheme="minorHAnsi" w:cs="Arial"/>
          <w:sz w:val="24"/>
          <w:szCs w:val="22"/>
        </w:rPr>
        <w:t xml:space="preserve">Map </w:t>
      </w:r>
      <w:r w:rsidRPr="003E2086">
        <w:rPr>
          <w:rFonts w:asciiTheme="minorHAnsi" w:hAnsiTheme="minorHAnsi" w:cs="Arial"/>
          <w:sz w:val="24"/>
          <w:szCs w:val="22"/>
        </w:rPr>
        <w:fldChar w:fldCharType="begin"/>
      </w:r>
      <w:r w:rsidRPr="003E2086">
        <w:rPr>
          <w:rFonts w:asciiTheme="minorHAnsi" w:hAnsiTheme="minorHAnsi" w:cs="Arial"/>
          <w:sz w:val="24"/>
          <w:szCs w:val="22"/>
        </w:rPr>
        <w:instrText xml:space="preserve"> SEQ Map \* ARABIC </w:instrText>
      </w:r>
      <w:r w:rsidRPr="003E2086">
        <w:rPr>
          <w:rFonts w:asciiTheme="minorHAnsi" w:hAnsiTheme="minorHAnsi" w:cs="Arial"/>
          <w:sz w:val="24"/>
          <w:szCs w:val="22"/>
        </w:rPr>
        <w:fldChar w:fldCharType="separate"/>
      </w:r>
      <w:r w:rsidRPr="003E2086">
        <w:rPr>
          <w:rFonts w:asciiTheme="minorHAnsi" w:hAnsiTheme="minorHAnsi" w:cs="Arial"/>
          <w:noProof/>
          <w:sz w:val="24"/>
          <w:szCs w:val="22"/>
        </w:rPr>
        <w:t>1</w:t>
      </w:r>
      <w:r w:rsidRPr="003E2086">
        <w:rPr>
          <w:rFonts w:asciiTheme="minorHAnsi" w:hAnsiTheme="minorHAnsi" w:cs="Arial"/>
          <w:sz w:val="24"/>
          <w:szCs w:val="22"/>
        </w:rPr>
        <w:fldChar w:fldCharType="end"/>
      </w:r>
      <w:r w:rsidRPr="003E2086">
        <w:rPr>
          <w:rFonts w:asciiTheme="minorHAnsi" w:hAnsiTheme="minorHAnsi" w:cs="Arial"/>
          <w:sz w:val="24"/>
          <w:szCs w:val="22"/>
        </w:rPr>
        <w:t>: Map showing mortality rate (2013-2015) from suicide across Lancashire</w:t>
      </w:r>
      <w:bookmarkEnd w:id="5"/>
      <w:r w:rsidRPr="003E2086">
        <w:rPr>
          <w:rFonts w:asciiTheme="minorHAnsi" w:hAnsiTheme="minorHAnsi" w:cs="Arial"/>
          <w:sz w:val="24"/>
          <w:szCs w:val="22"/>
        </w:rPr>
        <w:t xml:space="preserve"> </w:t>
      </w:r>
    </w:p>
    <w:p w:rsidR="003E2086" w:rsidRPr="00014D3B" w:rsidP="003E2086">
      <w:pPr>
        <w:pStyle w:val="Normal-indent"/>
        <w:ind w:left="0" w:right="81"/>
      </w:pPr>
      <w:r w:rsidRPr="00014D3B">
        <w:rPr>
          <w:noProof/>
          <w:lang w:eastAsia="en-GB"/>
        </w:rPr>
        <w:drawing>
          <wp:inline distT="0" distB="0" distL="0" distR="0">
            <wp:extent cx="5016500" cy="7124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5016500" cy="7124700"/>
                    </a:xfrm>
                    <a:prstGeom prst="rect">
                      <a:avLst/>
                    </a:prstGeom>
                    <a:noFill/>
                    <a:ln>
                      <a:noFill/>
                    </a:ln>
                  </pic:spPr>
                </pic:pic>
              </a:graphicData>
            </a:graphic>
          </wp:inline>
        </w:drawing>
      </w:r>
    </w:p>
    <w:p w:rsidR="003E2086" w:rsidRPr="00AB06F9" w:rsidP="003E2086">
      <w:pPr>
        <w:rPr>
          <w:sz w:val="18"/>
          <w:szCs w:val="18"/>
        </w:rPr>
      </w:pPr>
      <w:r w:rsidRPr="00AB06F9">
        <w:rPr>
          <w:sz w:val="18"/>
          <w:szCs w:val="18"/>
        </w:rPr>
        <w:t>Data source: Public Health England, Public Health Outcomes Framework</w:t>
      </w:r>
    </w:p>
    <w:p w:rsidR="003E2086" w:rsidP="003E2086">
      <w:pPr>
        <w:pStyle w:val="Heading3"/>
        <w:ind w:right="81"/>
        <w:rPr>
          <w:rFonts w:cs="Arial"/>
          <w:sz w:val="22"/>
          <w:szCs w:val="22"/>
        </w:rPr>
      </w:pPr>
    </w:p>
    <w:p w:rsidR="003E2086" w:rsidRPr="003E2086" w:rsidP="003E2086">
      <w:pPr>
        <w:pStyle w:val="Heading3"/>
        <w:ind w:right="81"/>
        <w:rPr>
          <w:rFonts w:asciiTheme="minorHAnsi" w:hAnsiTheme="minorHAnsi"/>
          <w:b w:val="0"/>
          <w:sz w:val="24"/>
          <w:szCs w:val="24"/>
        </w:rPr>
      </w:pPr>
      <w:bookmarkStart w:id="6" w:name="_Toc483899632"/>
      <w:r w:rsidRPr="003E2086">
        <w:rPr>
          <w:rFonts w:asciiTheme="minorHAnsi" w:hAnsiTheme="minorHAnsi"/>
          <w:b w:val="0"/>
          <w:sz w:val="24"/>
          <w:szCs w:val="24"/>
        </w:rPr>
        <w:t>Hospital admissions from intentional self-harm</w:t>
      </w:r>
      <w:bookmarkEnd w:id="6"/>
    </w:p>
    <w:p w:rsidR="003E2086" w:rsidRPr="003E2086" w:rsidP="003E2086">
      <w:pPr>
        <w:ind w:right="81"/>
        <w:rPr>
          <w:rFonts w:cs="Arial"/>
          <w:sz w:val="24"/>
          <w:szCs w:val="24"/>
        </w:rPr>
      </w:pPr>
      <w:r w:rsidRPr="003E2086">
        <w:rPr>
          <w:rFonts w:cs="Arial"/>
          <w:sz w:val="24"/>
          <w:szCs w:val="24"/>
        </w:rPr>
        <w:t>Self-harm is an expression of personal distress. Following an episode of self-harm, there is a significant and persistent risk of future suicide. In Lancashire, the most recent figures (2015/16) demonstrate that the rate of hospital admissions for self-ha</w:t>
      </w:r>
      <w:r w:rsidRPr="003E2086">
        <w:rPr>
          <w:rFonts w:cs="Arial"/>
          <w:sz w:val="24"/>
          <w:szCs w:val="24"/>
        </w:rPr>
        <w:t xml:space="preserve">rm for the county </w:t>
      </w:r>
      <w:r w:rsidRPr="003E2086">
        <w:rPr>
          <w:rFonts w:cs="Arial"/>
          <w:sz w:val="24"/>
          <w:szCs w:val="24"/>
        </w:rPr>
        <w:t xml:space="preserve">remains significantly worse than the England rate. Looking at individual districts, presented in Table 2, the rates in Burnley, Chorley, Fylde, Hyndburn, Lancaster and Wyre are </w:t>
      </w:r>
      <w:r>
        <w:rPr>
          <w:rFonts w:cs="Arial"/>
          <w:sz w:val="24"/>
          <w:szCs w:val="24"/>
        </w:rPr>
        <w:t xml:space="preserve">consistently </w:t>
      </w:r>
      <w:r w:rsidRPr="003E2086">
        <w:rPr>
          <w:rFonts w:cs="Arial"/>
          <w:sz w:val="24"/>
          <w:szCs w:val="24"/>
        </w:rPr>
        <w:t>significantly worse than the England rate</w:t>
      </w:r>
      <w:r>
        <w:rPr>
          <w:rFonts w:cs="Arial"/>
          <w:sz w:val="24"/>
          <w:szCs w:val="24"/>
        </w:rPr>
        <w:t>. As pr</w:t>
      </w:r>
      <w:r>
        <w:rPr>
          <w:rFonts w:cs="Arial"/>
          <w:sz w:val="24"/>
          <w:szCs w:val="24"/>
        </w:rPr>
        <w:t>evious self-harm is the most powerful predictor of future suicide, this demonstrates that action is needed across Lancashire and not just in areas where rates of completed suicide are high</w:t>
      </w:r>
      <w:r w:rsidRPr="003E2086">
        <w:rPr>
          <w:rFonts w:cs="Arial"/>
          <w:sz w:val="24"/>
          <w:szCs w:val="24"/>
        </w:rPr>
        <w:t>.</w:t>
      </w:r>
    </w:p>
    <w:p w:rsidR="003E2086" w:rsidRPr="00014D3B" w:rsidP="003E2086">
      <w:pPr>
        <w:pStyle w:val="ListParagraph"/>
        <w:ind w:left="0" w:right="81"/>
        <w:rPr>
          <w:rFonts w:cs="Arial"/>
          <w:sz w:val="22"/>
          <w:szCs w:val="22"/>
        </w:rPr>
      </w:pPr>
    </w:p>
    <w:p w:rsidR="003E2086" w:rsidRPr="00C77B4F" w:rsidP="003E2086">
      <w:pPr>
        <w:pStyle w:val="ListParagraph"/>
        <w:ind w:left="0" w:right="81"/>
        <w:rPr>
          <w:rFonts w:asciiTheme="minorHAnsi" w:hAnsiTheme="minorHAnsi" w:cs="Arial"/>
          <w:b/>
          <w:szCs w:val="22"/>
        </w:rPr>
      </w:pPr>
      <w:bookmarkStart w:id="7" w:name="_Toc483899679"/>
      <w:r w:rsidRPr="00C77B4F">
        <w:rPr>
          <w:rFonts w:asciiTheme="minorHAnsi" w:hAnsiTheme="minorHAnsi" w:cs="Arial"/>
          <w:noProof/>
          <w:szCs w:val="22"/>
          <w:lang w:eastAsia="en-GB"/>
        </w:rPr>
        <w:drawing>
          <wp:anchor distT="0" distB="0" distL="114300" distR="114300" simplePos="0" relativeHeight="251658240" behindDoc="0" locked="0" layoutInCell="1" allowOverlap="1">
            <wp:simplePos x="0" y="0"/>
            <wp:positionH relativeFrom="column">
              <wp:posOffset>4366260</wp:posOffset>
            </wp:positionH>
            <wp:positionV relativeFrom="paragraph">
              <wp:posOffset>219710</wp:posOffset>
            </wp:positionV>
            <wp:extent cx="1581150" cy="476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5811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7B4F">
        <w:rPr>
          <w:rFonts w:asciiTheme="minorHAnsi" w:hAnsiTheme="minorHAnsi" w:cs="Arial"/>
          <w:b/>
          <w:color w:val="auto"/>
          <w:szCs w:val="22"/>
        </w:rPr>
        <w:t xml:space="preserve">Table </w:t>
      </w:r>
      <w:r w:rsidRPr="00C77B4F">
        <w:rPr>
          <w:rFonts w:asciiTheme="minorHAnsi" w:hAnsiTheme="minorHAnsi" w:cs="Arial"/>
          <w:b/>
          <w:color w:val="auto"/>
          <w:szCs w:val="22"/>
        </w:rPr>
        <w:fldChar w:fldCharType="begin"/>
      </w:r>
      <w:r w:rsidRPr="00C77B4F">
        <w:rPr>
          <w:rFonts w:asciiTheme="minorHAnsi" w:hAnsiTheme="minorHAnsi" w:cs="Arial"/>
          <w:b/>
          <w:color w:val="auto"/>
          <w:szCs w:val="22"/>
        </w:rPr>
        <w:instrText xml:space="preserve"> SEQ Table \* ARABIC </w:instrText>
      </w:r>
      <w:r w:rsidRPr="00C77B4F">
        <w:rPr>
          <w:rFonts w:asciiTheme="minorHAnsi" w:hAnsiTheme="minorHAnsi" w:cs="Arial"/>
          <w:b/>
          <w:color w:val="auto"/>
          <w:szCs w:val="22"/>
        </w:rPr>
        <w:fldChar w:fldCharType="separate"/>
      </w:r>
      <w:r w:rsidRPr="00C77B4F">
        <w:rPr>
          <w:rFonts w:asciiTheme="minorHAnsi" w:hAnsiTheme="minorHAnsi" w:cs="Arial"/>
          <w:b/>
          <w:noProof/>
          <w:color w:val="auto"/>
          <w:szCs w:val="22"/>
        </w:rPr>
        <w:t>2</w:t>
      </w:r>
      <w:r w:rsidRPr="00C77B4F">
        <w:rPr>
          <w:rFonts w:asciiTheme="minorHAnsi" w:hAnsiTheme="minorHAnsi" w:cs="Arial"/>
          <w:b/>
          <w:color w:val="auto"/>
          <w:szCs w:val="22"/>
        </w:rPr>
        <w:fldChar w:fldCharType="end"/>
      </w:r>
      <w:r w:rsidRPr="00C77B4F">
        <w:rPr>
          <w:rFonts w:asciiTheme="minorHAnsi" w:hAnsiTheme="minorHAnsi" w:cs="Arial"/>
          <w:b/>
          <w:color w:val="auto"/>
          <w:szCs w:val="22"/>
        </w:rPr>
        <w:t>:</w:t>
      </w:r>
      <w:r w:rsidRPr="00C77B4F">
        <w:rPr>
          <w:rFonts w:asciiTheme="minorHAnsi" w:hAnsiTheme="minorHAnsi" w:cs="Arial"/>
          <w:szCs w:val="22"/>
        </w:rPr>
        <w:t xml:space="preserve"> </w:t>
      </w:r>
      <w:r w:rsidRPr="00C77B4F">
        <w:rPr>
          <w:rFonts w:asciiTheme="minorHAnsi" w:hAnsiTheme="minorHAnsi" w:cs="Arial"/>
          <w:b/>
          <w:szCs w:val="22"/>
        </w:rPr>
        <w:t>Emergency hospital admissions f</w:t>
      </w:r>
      <w:r w:rsidRPr="00C77B4F">
        <w:rPr>
          <w:rFonts w:asciiTheme="minorHAnsi" w:hAnsiTheme="minorHAnsi" w:cs="Arial"/>
          <w:b/>
          <w:szCs w:val="22"/>
        </w:rPr>
        <w:t>or intentional self-harm, all ages, all persons, Lancashire</w:t>
      </w:r>
      <w:bookmarkEnd w:id="7"/>
      <w:r w:rsidRPr="00C77B4F">
        <w:rPr>
          <w:rFonts w:asciiTheme="minorHAnsi" w:hAnsiTheme="minorHAnsi" w:cs="Arial"/>
          <w:b/>
          <w:szCs w:val="22"/>
        </w:rPr>
        <w:t xml:space="preserve"> </w:t>
      </w:r>
    </w:p>
    <w:tbl>
      <w:tblPr>
        <w:tblW w:w="5896" w:type="dxa"/>
        <w:tblInd w:w="118" w:type="dxa"/>
        <w:tblLook w:val="04A0"/>
      </w:tblPr>
      <w:tblGrid>
        <w:gridCol w:w="2140"/>
        <w:gridCol w:w="1061"/>
        <w:gridCol w:w="1061"/>
        <w:gridCol w:w="1061"/>
        <w:gridCol w:w="1061"/>
      </w:tblGrid>
      <w:tr w:rsidTr="004547C8">
        <w:tblPrEx>
          <w:tblW w:w="5896" w:type="dxa"/>
          <w:tblInd w:w="118" w:type="dxa"/>
          <w:tblLook w:val="04A0"/>
        </w:tblPrEx>
        <w:trPr>
          <w:trHeight w:val="255"/>
        </w:trPr>
        <w:tc>
          <w:tcPr>
            <w:tcW w:w="2140" w:type="dxa"/>
            <w:tcBorders>
              <w:top w:val="single" w:sz="8" w:space="0" w:color="auto"/>
              <w:left w:val="single" w:sz="8" w:space="0" w:color="auto"/>
              <w:bottom w:val="single" w:sz="4" w:space="0" w:color="auto"/>
              <w:right w:val="single" w:sz="4" w:space="0" w:color="auto"/>
            </w:tcBorders>
            <w:shd w:val="clear" w:color="auto" w:fill="D9D9D9"/>
            <w:noWrap/>
            <w:vAlign w:val="bottom"/>
            <w:hideMark/>
          </w:tcPr>
          <w:p w:rsidR="003E2086" w:rsidRPr="00DA3078" w:rsidP="004547C8">
            <w:pPr>
              <w:ind w:right="81"/>
              <w:rPr>
                <w:rFonts w:eastAsia="Times New Roman" w:cs="Arial"/>
                <w:b/>
                <w:bCs/>
                <w:lang w:eastAsia="en-GB"/>
              </w:rPr>
            </w:pPr>
            <w:r w:rsidRPr="00DA3078">
              <w:rPr>
                <w:rFonts w:eastAsia="Times New Roman" w:cs="Arial"/>
                <w:b/>
                <w:bCs/>
                <w:lang w:eastAsia="en-GB"/>
              </w:rPr>
              <w:t>District</w:t>
            </w:r>
          </w:p>
        </w:tc>
        <w:tc>
          <w:tcPr>
            <w:tcW w:w="939" w:type="dxa"/>
            <w:tcBorders>
              <w:top w:val="single" w:sz="8" w:space="0" w:color="auto"/>
              <w:left w:val="nil"/>
              <w:bottom w:val="single" w:sz="4" w:space="0" w:color="auto"/>
              <w:right w:val="single" w:sz="4" w:space="0" w:color="auto"/>
            </w:tcBorders>
            <w:shd w:val="clear" w:color="auto" w:fill="D9D9D9"/>
            <w:noWrap/>
            <w:vAlign w:val="bottom"/>
            <w:hideMark/>
          </w:tcPr>
          <w:p w:rsidR="003E2086" w:rsidRPr="00DA3078" w:rsidP="004547C8">
            <w:pPr>
              <w:ind w:right="81"/>
              <w:rPr>
                <w:rFonts w:eastAsia="Times New Roman" w:cs="Arial"/>
                <w:b/>
                <w:bCs/>
                <w:lang w:eastAsia="en-GB"/>
              </w:rPr>
            </w:pPr>
            <w:r w:rsidRPr="00DA3078">
              <w:rPr>
                <w:rFonts w:eastAsia="Times New Roman" w:cs="Arial"/>
                <w:b/>
                <w:bCs/>
                <w:lang w:eastAsia="en-GB"/>
              </w:rPr>
              <w:t>2012/13</w:t>
            </w:r>
          </w:p>
        </w:tc>
        <w:tc>
          <w:tcPr>
            <w:tcW w:w="939" w:type="dxa"/>
            <w:tcBorders>
              <w:top w:val="single" w:sz="8" w:space="0" w:color="auto"/>
              <w:left w:val="nil"/>
              <w:bottom w:val="single" w:sz="4" w:space="0" w:color="auto"/>
              <w:right w:val="single" w:sz="4" w:space="0" w:color="auto"/>
            </w:tcBorders>
            <w:shd w:val="clear" w:color="auto" w:fill="D9D9D9"/>
            <w:noWrap/>
            <w:vAlign w:val="bottom"/>
            <w:hideMark/>
          </w:tcPr>
          <w:p w:rsidR="003E2086" w:rsidRPr="00DA3078" w:rsidP="004547C8">
            <w:pPr>
              <w:ind w:right="81"/>
              <w:rPr>
                <w:rFonts w:eastAsia="Times New Roman" w:cs="Arial"/>
                <w:b/>
                <w:bCs/>
                <w:lang w:eastAsia="en-GB"/>
              </w:rPr>
            </w:pPr>
            <w:r w:rsidRPr="00DA3078">
              <w:rPr>
                <w:rFonts w:eastAsia="Times New Roman" w:cs="Arial"/>
                <w:b/>
                <w:bCs/>
                <w:lang w:eastAsia="en-GB"/>
              </w:rPr>
              <w:t>2013/14</w:t>
            </w:r>
          </w:p>
        </w:tc>
        <w:tc>
          <w:tcPr>
            <w:tcW w:w="939" w:type="dxa"/>
            <w:tcBorders>
              <w:top w:val="single" w:sz="8" w:space="0" w:color="auto"/>
              <w:left w:val="nil"/>
              <w:bottom w:val="single" w:sz="4" w:space="0" w:color="auto"/>
              <w:right w:val="single" w:sz="4" w:space="0" w:color="auto"/>
            </w:tcBorders>
            <w:shd w:val="clear" w:color="auto" w:fill="D9D9D9"/>
            <w:noWrap/>
            <w:vAlign w:val="bottom"/>
            <w:hideMark/>
          </w:tcPr>
          <w:p w:rsidR="003E2086" w:rsidRPr="00DA3078" w:rsidP="004547C8">
            <w:pPr>
              <w:ind w:right="81"/>
              <w:rPr>
                <w:rFonts w:eastAsia="Times New Roman" w:cs="Arial"/>
                <w:b/>
                <w:bCs/>
                <w:lang w:eastAsia="en-GB"/>
              </w:rPr>
            </w:pPr>
            <w:r w:rsidRPr="00DA3078">
              <w:rPr>
                <w:rFonts w:eastAsia="Times New Roman" w:cs="Arial"/>
                <w:b/>
                <w:bCs/>
                <w:lang w:eastAsia="en-GB"/>
              </w:rPr>
              <w:t>2014/15</w:t>
            </w:r>
          </w:p>
        </w:tc>
        <w:tc>
          <w:tcPr>
            <w:tcW w:w="939" w:type="dxa"/>
            <w:tcBorders>
              <w:top w:val="single" w:sz="8" w:space="0" w:color="auto"/>
              <w:left w:val="nil"/>
              <w:bottom w:val="single" w:sz="4" w:space="0" w:color="auto"/>
              <w:right w:val="single" w:sz="8" w:space="0" w:color="auto"/>
            </w:tcBorders>
            <w:shd w:val="clear" w:color="auto" w:fill="D9D9D9"/>
            <w:noWrap/>
            <w:vAlign w:val="bottom"/>
            <w:hideMark/>
          </w:tcPr>
          <w:p w:rsidR="003E2086" w:rsidRPr="00DA3078" w:rsidP="004547C8">
            <w:pPr>
              <w:ind w:right="81"/>
              <w:rPr>
                <w:rFonts w:eastAsia="Times New Roman" w:cs="Arial"/>
                <w:b/>
                <w:bCs/>
                <w:lang w:eastAsia="en-GB"/>
              </w:rPr>
            </w:pPr>
            <w:r w:rsidRPr="00DA3078">
              <w:rPr>
                <w:rFonts w:eastAsia="Times New Roman" w:cs="Arial"/>
                <w:b/>
                <w:bCs/>
                <w:lang w:eastAsia="en-GB"/>
              </w:rPr>
              <w:t>2015/16</w:t>
            </w:r>
          </w:p>
        </w:tc>
      </w:tr>
      <w:tr w:rsidTr="004547C8">
        <w:tblPrEx>
          <w:tblW w:w="5896" w:type="dxa"/>
          <w:tblInd w:w="118" w:type="dxa"/>
          <w:tblLook w:val="04A0"/>
        </w:tblPrEx>
        <w:trPr>
          <w:trHeight w:val="255"/>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rsidR="003E2086" w:rsidRPr="00DA3078" w:rsidP="004547C8">
            <w:pPr>
              <w:ind w:right="81"/>
              <w:rPr>
                <w:rFonts w:eastAsia="Times New Roman" w:cs="Arial"/>
                <w:lang w:eastAsia="en-GB"/>
              </w:rPr>
            </w:pPr>
            <w:r w:rsidRPr="00DA3078">
              <w:rPr>
                <w:rFonts w:eastAsia="Times New Roman" w:cs="Arial"/>
                <w:lang w:eastAsia="en-GB"/>
              </w:rPr>
              <w:t>Burnley</w:t>
            </w:r>
          </w:p>
        </w:tc>
        <w:tc>
          <w:tcPr>
            <w:tcW w:w="939" w:type="dxa"/>
            <w:tcBorders>
              <w:top w:val="nil"/>
              <w:left w:val="nil"/>
              <w:bottom w:val="single" w:sz="4" w:space="0" w:color="auto"/>
              <w:right w:val="single" w:sz="4" w:space="0" w:color="auto"/>
            </w:tcBorders>
            <w:shd w:val="clear" w:color="000000" w:fill="FF0000"/>
            <w:noWrap/>
            <w:vAlign w:val="bottom"/>
            <w:hideMark/>
          </w:tcPr>
          <w:p w:rsidR="003E2086" w:rsidRPr="00DA3078" w:rsidP="004547C8">
            <w:pPr>
              <w:ind w:right="81"/>
              <w:jc w:val="right"/>
              <w:rPr>
                <w:rFonts w:eastAsia="Times New Roman" w:cs="Arial"/>
                <w:lang w:eastAsia="en-GB"/>
              </w:rPr>
            </w:pPr>
            <w:r w:rsidRPr="00DA3078">
              <w:rPr>
                <w:rFonts w:eastAsia="Times New Roman" w:cs="Arial"/>
                <w:lang w:eastAsia="en-GB"/>
              </w:rPr>
              <w:t>345.9</w:t>
            </w:r>
          </w:p>
        </w:tc>
        <w:tc>
          <w:tcPr>
            <w:tcW w:w="939" w:type="dxa"/>
            <w:tcBorders>
              <w:top w:val="nil"/>
              <w:left w:val="nil"/>
              <w:bottom w:val="single" w:sz="4" w:space="0" w:color="auto"/>
              <w:right w:val="single" w:sz="4" w:space="0" w:color="auto"/>
            </w:tcBorders>
            <w:shd w:val="clear" w:color="000000" w:fill="FF0000"/>
            <w:noWrap/>
            <w:vAlign w:val="bottom"/>
            <w:hideMark/>
          </w:tcPr>
          <w:p w:rsidR="003E2086" w:rsidRPr="00DA3078" w:rsidP="004547C8">
            <w:pPr>
              <w:ind w:right="81"/>
              <w:jc w:val="right"/>
              <w:rPr>
                <w:rFonts w:eastAsia="Times New Roman" w:cs="Arial"/>
                <w:lang w:eastAsia="en-GB"/>
              </w:rPr>
            </w:pPr>
            <w:r w:rsidRPr="00DA3078">
              <w:rPr>
                <w:rFonts w:eastAsia="Times New Roman" w:cs="Arial"/>
                <w:lang w:eastAsia="en-GB"/>
              </w:rPr>
              <w:t>332.9</w:t>
            </w:r>
          </w:p>
        </w:tc>
        <w:tc>
          <w:tcPr>
            <w:tcW w:w="939" w:type="dxa"/>
            <w:tcBorders>
              <w:top w:val="nil"/>
              <w:left w:val="nil"/>
              <w:bottom w:val="single" w:sz="4" w:space="0" w:color="auto"/>
              <w:right w:val="single" w:sz="4" w:space="0" w:color="auto"/>
            </w:tcBorders>
            <w:shd w:val="clear" w:color="000000" w:fill="FF0000"/>
            <w:noWrap/>
            <w:vAlign w:val="bottom"/>
            <w:hideMark/>
          </w:tcPr>
          <w:p w:rsidR="003E2086" w:rsidRPr="00DA3078" w:rsidP="004547C8">
            <w:pPr>
              <w:ind w:right="81"/>
              <w:jc w:val="right"/>
              <w:rPr>
                <w:rFonts w:eastAsia="Times New Roman" w:cs="Arial"/>
                <w:lang w:eastAsia="en-GB"/>
              </w:rPr>
            </w:pPr>
            <w:r w:rsidRPr="00DA3078">
              <w:rPr>
                <w:rFonts w:eastAsia="Times New Roman" w:cs="Arial"/>
                <w:lang w:eastAsia="en-GB"/>
              </w:rPr>
              <w:t>345.1</w:t>
            </w:r>
          </w:p>
        </w:tc>
        <w:tc>
          <w:tcPr>
            <w:tcW w:w="939" w:type="dxa"/>
            <w:tcBorders>
              <w:top w:val="nil"/>
              <w:left w:val="nil"/>
              <w:bottom w:val="single" w:sz="4" w:space="0" w:color="auto"/>
              <w:right w:val="single" w:sz="8" w:space="0" w:color="auto"/>
            </w:tcBorders>
            <w:shd w:val="clear" w:color="000000" w:fill="FF0000"/>
            <w:noWrap/>
            <w:vAlign w:val="bottom"/>
            <w:hideMark/>
          </w:tcPr>
          <w:p w:rsidR="003E2086" w:rsidRPr="00DA3078" w:rsidP="004547C8">
            <w:pPr>
              <w:ind w:right="81"/>
              <w:jc w:val="right"/>
              <w:rPr>
                <w:rFonts w:eastAsia="Times New Roman" w:cs="Arial"/>
                <w:lang w:eastAsia="en-GB"/>
              </w:rPr>
            </w:pPr>
            <w:r w:rsidRPr="00DA3078">
              <w:rPr>
                <w:rFonts w:eastAsia="Times New Roman" w:cs="Arial"/>
                <w:lang w:eastAsia="en-GB"/>
              </w:rPr>
              <w:t>294.6</w:t>
            </w:r>
          </w:p>
        </w:tc>
      </w:tr>
      <w:tr w:rsidTr="004547C8">
        <w:tblPrEx>
          <w:tblW w:w="5896" w:type="dxa"/>
          <w:tblInd w:w="118" w:type="dxa"/>
          <w:tblLook w:val="04A0"/>
        </w:tblPrEx>
        <w:trPr>
          <w:trHeight w:val="255"/>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rsidR="003E2086" w:rsidRPr="00DA3078" w:rsidP="004547C8">
            <w:pPr>
              <w:ind w:right="81"/>
              <w:rPr>
                <w:rFonts w:eastAsia="Times New Roman" w:cs="Arial"/>
                <w:lang w:eastAsia="en-GB"/>
              </w:rPr>
            </w:pPr>
            <w:r w:rsidRPr="00DA3078">
              <w:rPr>
                <w:rFonts w:eastAsia="Times New Roman" w:cs="Arial"/>
                <w:lang w:eastAsia="en-GB"/>
              </w:rPr>
              <w:t>Chorley</w:t>
            </w:r>
          </w:p>
        </w:tc>
        <w:tc>
          <w:tcPr>
            <w:tcW w:w="939" w:type="dxa"/>
            <w:tcBorders>
              <w:top w:val="nil"/>
              <w:left w:val="nil"/>
              <w:bottom w:val="single" w:sz="4" w:space="0" w:color="auto"/>
              <w:right w:val="single" w:sz="4" w:space="0" w:color="auto"/>
            </w:tcBorders>
            <w:shd w:val="clear" w:color="000000" w:fill="FF0000"/>
            <w:noWrap/>
            <w:vAlign w:val="bottom"/>
            <w:hideMark/>
          </w:tcPr>
          <w:p w:rsidR="003E2086" w:rsidRPr="00DA3078" w:rsidP="004547C8">
            <w:pPr>
              <w:ind w:right="81"/>
              <w:jc w:val="right"/>
              <w:rPr>
                <w:rFonts w:eastAsia="Times New Roman" w:cs="Arial"/>
                <w:lang w:eastAsia="en-GB"/>
              </w:rPr>
            </w:pPr>
            <w:r w:rsidRPr="00DA3078">
              <w:rPr>
                <w:rFonts w:eastAsia="Times New Roman" w:cs="Arial"/>
                <w:lang w:eastAsia="en-GB"/>
              </w:rPr>
              <w:t>218.2</w:t>
            </w:r>
          </w:p>
        </w:tc>
        <w:tc>
          <w:tcPr>
            <w:tcW w:w="939" w:type="dxa"/>
            <w:tcBorders>
              <w:top w:val="nil"/>
              <w:left w:val="nil"/>
              <w:bottom w:val="single" w:sz="4" w:space="0" w:color="auto"/>
              <w:right w:val="single" w:sz="4" w:space="0" w:color="auto"/>
            </w:tcBorders>
            <w:shd w:val="clear" w:color="000000" w:fill="FF0000"/>
            <w:noWrap/>
            <w:vAlign w:val="bottom"/>
            <w:hideMark/>
          </w:tcPr>
          <w:p w:rsidR="003E2086" w:rsidRPr="00DA3078" w:rsidP="004547C8">
            <w:pPr>
              <w:ind w:right="81"/>
              <w:jc w:val="right"/>
              <w:rPr>
                <w:rFonts w:eastAsia="Times New Roman" w:cs="Arial"/>
                <w:lang w:eastAsia="en-GB"/>
              </w:rPr>
            </w:pPr>
            <w:r w:rsidRPr="00DA3078">
              <w:rPr>
                <w:rFonts w:eastAsia="Times New Roman" w:cs="Arial"/>
                <w:lang w:eastAsia="en-GB"/>
              </w:rPr>
              <w:t>289.7</w:t>
            </w:r>
          </w:p>
        </w:tc>
        <w:tc>
          <w:tcPr>
            <w:tcW w:w="939" w:type="dxa"/>
            <w:tcBorders>
              <w:top w:val="nil"/>
              <w:left w:val="nil"/>
              <w:bottom w:val="single" w:sz="4" w:space="0" w:color="auto"/>
              <w:right w:val="single" w:sz="4" w:space="0" w:color="auto"/>
            </w:tcBorders>
            <w:shd w:val="clear" w:color="000000" w:fill="FF0000"/>
            <w:noWrap/>
            <w:vAlign w:val="bottom"/>
            <w:hideMark/>
          </w:tcPr>
          <w:p w:rsidR="003E2086" w:rsidRPr="00DA3078" w:rsidP="004547C8">
            <w:pPr>
              <w:ind w:right="81"/>
              <w:jc w:val="right"/>
              <w:rPr>
                <w:rFonts w:eastAsia="Times New Roman" w:cs="Arial"/>
                <w:lang w:eastAsia="en-GB"/>
              </w:rPr>
            </w:pPr>
            <w:r w:rsidRPr="00DA3078">
              <w:rPr>
                <w:rFonts w:eastAsia="Times New Roman" w:cs="Arial"/>
                <w:lang w:eastAsia="en-GB"/>
              </w:rPr>
              <w:t>243.4</w:t>
            </w:r>
          </w:p>
        </w:tc>
        <w:tc>
          <w:tcPr>
            <w:tcW w:w="939" w:type="dxa"/>
            <w:tcBorders>
              <w:top w:val="nil"/>
              <w:left w:val="nil"/>
              <w:bottom w:val="single" w:sz="4" w:space="0" w:color="auto"/>
              <w:right w:val="single" w:sz="8" w:space="0" w:color="auto"/>
            </w:tcBorders>
            <w:shd w:val="clear" w:color="000000" w:fill="FF0000"/>
            <w:noWrap/>
            <w:vAlign w:val="bottom"/>
            <w:hideMark/>
          </w:tcPr>
          <w:p w:rsidR="003E2086" w:rsidRPr="00DA3078" w:rsidP="004547C8">
            <w:pPr>
              <w:ind w:right="81"/>
              <w:jc w:val="right"/>
              <w:rPr>
                <w:rFonts w:eastAsia="Times New Roman" w:cs="Arial"/>
                <w:lang w:eastAsia="en-GB"/>
              </w:rPr>
            </w:pPr>
            <w:r w:rsidRPr="00DA3078">
              <w:rPr>
                <w:rFonts w:eastAsia="Times New Roman" w:cs="Arial"/>
                <w:lang w:eastAsia="en-GB"/>
              </w:rPr>
              <w:t>233.6</w:t>
            </w:r>
          </w:p>
        </w:tc>
      </w:tr>
      <w:tr w:rsidTr="004547C8">
        <w:tblPrEx>
          <w:tblW w:w="5896" w:type="dxa"/>
          <w:tblInd w:w="118" w:type="dxa"/>
          <w:tblLook w:val="04A0"/>
        </w:tblPrEx>
        <w:trPr>
          <w:trHeight w:val="255"/>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rsidR="003E2086" w:rsidRPr="00DA3078" w:rsidP="004547C8">
            <w:pPr>
              <w:ind w:right="81"/>
              <w:rPr>
                <w:rFonts w:eastAsia="Times New Roman" w:cs="Arial"/>
                <w:lang w:eastAsia="en-GB"/>
              </w:rPr>
            </w:pPr>
            <w:r w:rsidRPr="00DA3078">
              <w:rPr>
                <w:rFonts w:eastAsia="Times New Roman" w:cs="Arial"/>
                <w:lang w:eastAsia="en-GB"/>
              </w:rPr>
              <w:t>Fylde</w:t>
            </w:r>
          </w:p>
        </w:tc>
        <w:tc>
          <w:tcPr>
            <w:tcW w:w="939" w:type="dxa"/>
            <w:tcBorders>
              <w:top w:val="nil"/>
              <w:left w:val="nil"/>
              <w:bottom w:val="single" w:sz="4" w:space="0" w:color="auto"/>
              <w:right w:val="single" w:sz="4" w:space="0" w:color="auto"/>
            </w:tcBorders>
            <w:shd w:val="clear" w:color="000000" w:fill="FF0000"/>
            <w:noWrap/>
            <w:vAlign w:val="bottom"/>
            <w:hideMark/>
          </w:tcPr>
          <w:p w:rsidR="003E2086" w:rsidRPr="00DA3078" w:rsidP="004547C8">
            <w:pPr>
              <w:ind w:right="81"/>
              <w:jc w:val="right"/>
              <w:rPr>
                <w:rFonts w:eastAsia="Times New Roman" w:cs="Arial"/>
                <w:lang w:eastAsia="en-GB"/>
              </w:rPr>
            </w:pPr>
            <w:r w:rsidRPr="00DA3078">
              <w:rPr>
                <w:rFonts w:eastAsia="Times New Roman" w:cs="Arial"/>
                <w:lang w:eastAsia="en-GB"/>
              </w:rPr>
              <w:t>266.3</w:t>
            </w:r>
          </w:p>
        </w:tc>
        <w:tc>
          <w:tcPr>
            <w:tcW w:w="939" w:type="dxa"/>
            <w:tcBorders>
              <w:top w:val="nil"/>
              <w:left w:val="nil"/>
              <w:bottom w:val="single" w:sz="4" w:space="0" w:color="auto"/>
              <w:right w:val="single" w:sz="4" w:space="0" w:color="auto"/>
            </w:tcBorders>
            <w:shd w:val="clear" w:color="000000" w:fill="FFC000"/>
            <w:noWrap/>
            <w:vAlign w:val="bottom"/>
            <w:hideMark/>
          </w:tcPr>
          <w:p w:rsidR="003E2086" w:rsidRPr="00DA3078" w:rsidP="004547C8">
            <w:pPr>
              <w:ind w:right="81"/>
              <w:jc w:val="right"/>
              <w:rPr>
                <w:rFonts w:eastAsia="Times New Roman" w:cs="Arial"/>
                <w:lang w:eastAsia="en-GB"/>
              </w:rPr>
            </w:pPr>
            <w:r w:rsidRPr="00DA3078">
              <w:rPr>
                <w:rFonts w:eastAsia="Times New Roman" w:cs="Arial"/>
                <w:lang w:eastAsia="en-GB"/>
              </w:rPr>
              <w:t>203.6</w:t>
            </w:r>
          </w:p>
        </w:tc>
        <w:tc>
          <w:tcPr>
            <w:tcW w:w="939" w:type="dxa"/>
            <w:tcBorders>
              <w:top w:val="nil"/>
              <w:left w:val="nil"/>
              <w:bottom w:val="single" w:sz="4" w:space="0" w:color="auto"/>
              <w:right w:val="single" w:sz="4" w:space="0" w:color="auto"/>
            </w:tcBorders>
            <w:shd w:val="clear" w:color="000000" w:fill="FF0000"/>
            <w:noWrap/>
            <w:vAlign w:val="bottom"/>
            <w:hideMark/>
          </w:tcPr>
          <w:p w:rsidR="003E2086" w:rsidRPr="00DA3078" w:rsidP="004547C8">
            <w:pPr>
              <w:ind w:right="81"/>
              <w:jc w:val="right"/>
              <w:rPr>
                <w:rFonts w:eastAsia="Times New Roman" w:cs="Arial"/>
                <w:lang w:eastAsia="en-GB"/>
              </w:rPr>
            </w:pPr>
            <w:r w:rsidRPr="00DA3078">
              <w:rPr>
                <w:rFonts w:eastAsia="Times New Roman" w:cs="Arial"/>
                <w:lang w:eastAsia="en-GB"/>
              </w:rPr>
              <w:t>242.7</w:t>
            </w:r>
          </w:p>
        </w:tc>
        <w:tc>
          <w:tcPr>
            <w:tcW w:w="939" w:type="dxa"/>
            <w:tcBorders>
              <w:top w:val="nil"/>
              <w:left w:val="nil"/>
              <w:bottom w:val="single" w:sz="4" w:space="0" w:color="auto"/>
              <w:right w:val="single" w:sz="8" w:space="0" w:color="auto"/>
            </w:tcBorders>
            <w:shd w:val="clear" w:color="000000" w:fill="FF0000"/>
            <w:noWrap/>
            <w:vAlign w:val="bottom"/>
            <w:hideMark/>
          </w:tcPr>
          <w:p w:rsidR="003E2086" w:rsidRPr="00DA3078" w:rsidP="004547C8">
            <w:pPr>
              <w:ind w:right="81"/>
              <w:jc w:val="right"/>
              <w:rPr>
                <w:rFonts w:eastAsia="Times New Roman" w:cs="Arial"/>
                <w:lang w:eastAsia="en-GB"/>
              </w:rPr>
            </w:pPr>
            <w:r w:rsidRPr="00DA3078">
              <w:rPr>
                <w:rFonts w:eastAsia="Times New Roman" w:cs="Arial"/>
                <w:lang w:eastAsia="en-GB"/>
              </w:rPr>
              <w:t>257.0</w:t>
            </w:r>
          </w:p>
        </w:tc>
      </w:tr>
      <w:tr w:rsidTr="004547C8">
        <w:tblPrEx>
          <w:tblW w:w="5896" w:type="dxa"/>
          <w:tblInd w:w="118" w:type="dxa"/>
          <w:tblLook w:val="04A0"/>
        </w:tblPrEx>
        <w:trPr>
          <w:trHeight w:val="255"/>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rsidR="003E2086" w:rsidRPr="00DA3078" w:rsidP="004547C8">
            <w:pPr>
              <w:ind w:right="81"/>
              <w:rPr>
                <w:rFonts w:eastAsia="Times New Roman" w:cs="Arial"/>
                <w:lang w:eastAsia="en-GB"/>
              </w:rPr>
            </w:pPr>
            <w:r w:rsidRPr="00DA3078">
              <w:rPr>
                <w:rFonts w:eastAsia="Times New Roman" w:cs="Arial"/>
                <w:lang w:eastAsia="en-GB"/>
              </w:rPr>
              <w:t>Hyndburn</w:t>
            </w:r>
          </w:p>
        </w:tc>
        <w:tc>
          <w:tcPr>
            <w:tcW w:w="939" w:type="dxa"/>
            <w:tcBorders>
              <w:top w:val="nil"/>
              <w:left w:val="nil"/>
              <w:bottom w:val="single" w:sz="4" w:space="0" w:color="auto"/>
              <w:right w:val="single" w:sz="4" w:space="0" w:color="auto"/>
            </w:tcBorders>
            <w:shd w:val="clear" w:color="000000" w:fill="FF0000"/>
            <w:noWrap/>
            <w:vAlign w:val="bottom"/>
            <w:hideMark/>
          </w:tcPr>
          <w:p w:rsidR="003E2086" w:rsidRPr="00DA3078" w:rsidP="004547C8">
            <w:pPr>
              <w:ind w:right="81"/>
              <w:jc w:val="right"/>
              <w:rPr>
                <w:rFonts w:eastAsia="Times New Roman" w:cs="Arial"/>
                <w:lang w:eastAsia="en-GB"/>
              </w:rPr>
            </w:pPr>
            <w:r w:rsidRPr="00DA3078">
              <w:rPr>
                <w:rFonts w:eastAsia="Times New Roman" w:cs="Arial"/>
                <w:lang w:eastAsia="en-GB"/>
              </w:rPr>
              <w:t>317.6</w:t>
            </w:r>
          </w:p>
        </w:tc>
        <w:tc>
          <w:tcPr>
            <w:tcW w:w="939" w:type="dxa"/>
            <w:tcBorders>
              <w:top w:val="nil"/>
              <w:left w:val="nil"/>
              <w:bottom w:val="single" w:sz="4" w:space="0" w:color="auto"/>
              <w:right w:val="single" w:sz="4" w:space="0" w:color="auto"/>
            </w:tcBorders>
            <w:shd w:val="clear" w:color="000000" w:fill="FF0000"/>
            <w:noWrap/>
            <w:vAlign w:val="bottom"/>
            <w:hideMark/>
          </w:tcPr>
          <w:p w:rsidR="003E2086" w:rsidRPr="00DA3078" w:rsidP="004547C8">
            <w:pPr>
              <w:ind w:right="81"/>
              <w:jc w:val="right"/>
              <w:rPr>
                <w:rFonts w:eastAsia="Times New Roman" w:cs="Arial"/>
                <w:lang w:eastAsia="en-GB"/>
              </w:rPr>
            </w:pPr>
            <w:r w:rsidRPr="00DA3078">
              <w:rPr>
                <w:rFonts w:eastAsia="Times New Roman" w:cs="Arial"/>
                <w:lang w:eastAsia="en-GB"/>
              </w:rPr>
              <w:t>341.1</w:t>
            </w:r>
          </w:p>
        </w:tc>
        <w:tc>
          <w:tcPr>
            <w:tcW w:w="939" w:type="dxa"/>
            <w:tcBorders>
              <w:top w:val="nil"/>
              <w:left w:val="nil"/>
              <w:bottom w:val="single" w:sz="4" w:space="0" w:color="auto"/>
              <w:right w:val="single" w:sz="4" w:space="0" w:color="auto"/>
            </w:tcBorders>
            <w:shd w:val="clear" w:color="000000" w:fill="FF0000"/>
            <w:noWrap/>
            <w:vAlign w:val="bottom"/>
            <w:hideMark/>
          </w:tcPr>
          <w:p w:rsidR="003E2086" w:rsidRPr="00DA3078" w:rsidP="004547C8">
            <w:pPr>
              <w:ind w:right="81"/>
              <w:jc w:val="right"/>
              <w:rPr>
                <w:rFonts w:eastAsia="Times New Roman" w:cs="Arial"/>
                <w:lang w:eastAsia="en-GB"/>
              </w:rPr>
            </w:pPr>
            <w:r w:rsidRPr="00DA3078">
              <w:rPr>
                <w:rFonts w:eastAsia="Times New Roman" w:cs="Arial"/>
                <w:lang w:eastAsia="en-GB"/>
              </w:rPr>
              <w:t>309.5</w:t>
            </w:r>
          </w:p>
        </w:tc>
        <w:tc>
          <w:tcPr>
            <w:tcW w:w="939" w:type="dxa"/>
            <w:tcBorders>
              <w:top w:val="nil"/>
              <w:left w:val="nil"/>
              <w:bottom w:val="single" w:sz="4" w:space="0" w:color="auto"/>
              <w:right w:val="single" w:sz="8" w:space="0" w:color="auto"/>
            </w:tcBorders>
            <w:shd w:val="clear" w:color="000000" w:fill="FF0000"/>
            <w:noWrap/>
            <w:vAlign w:val="bottom"/>
            <w:hideMark/>
          </w:tcPr>
          <w:p w:rsidR="003E2086" w:rsidRPr="00DA3078" w:rsidP="004547C8">
            <w:pPr>
              <w:ind w:right="81"/>
              <w:jc w:val="right"/>
              <w:rPr>
                <w:rFonts w:eastAsia="Times New Roman" w:cs="Arial"/>
                <w:lang w:eastAsia="en-GB"/>
              </w:rPr>
            </w:pPr>
            <w:r w:rsidRPr="00DA3078">
              <w:rPr>
                <w:rFonts w:eastAsia="Times New Roman" w:cs="Arial"/>
                <w:lang w:eastAsia="en-GB"/>
              </w:rPr>
              <w:t>295.0</w:t>
            </w:r>
          </w:p>
        </w:tc>
      </w:tr>
      <w:tr w:rsidTr="004547C8">
        <w:tblPrEx>
          <w:tblW w:w="5896" w:type="dxa"/>
          <w:tblInd w:w="118" w:type="dxa"/>
          <w:tblLook w:val="04A0"/>
        </w:tblPrEx>
        <w:trPr>
          <w:trHeight w:val="255"/>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rsidR="003E2086" w:rsidRPr="00DA3078" w:rsidP="004547C8">
            <w:pPr>
              <w:ind w:right="81"/>
              <w:rPr>
                <w:rFonts w:eastAsia="Times New Roman" w:cs="Arial"/>
                <w:lang w:eastAsia="en-GB"/>
              </w:rPr>
            </w:pPr>
            <w:r w:rsidRPr="00DA3078">
              <w:rPr>
                <w:rFonts w:eastAsia="Times New Roman" w:cs="Arial"/>
                <w:lang w:eastAsia="en-GB"/>
              </w:rPr>
              <w:t>Lancaster</w:t>
            </w:r>
          </w:p>
        </w:tc>
        <w:tc>
          <w:tcPr>
            <w:tcW w:w="939" w:type="dxa"/>
            <w:tcBorders>
              <w:top w:val="nil"/>
              <w:left w:val="nil"/>
              <w:bottom w:val="single" w:sz="4" w:space="0" w:color="auto"/>
              <w:right w:val="single" w:sz="4" w:space="0" w:color="auto"/>
            </w:tcBorders>
            <w:shd w:val="clear" w:color="000000" w:fill="FF0000"/>
            <w:noWrap/>
            <w:vAlign w:val="bottom"/>
            <w:hideMark/>
          </w:tcPr>
          <w:p w:rsidR="003E2086" w:rsidRPr="00DA3078" w:rsidP="004547C8">
            <w:pPr>
              <w:ind w:right="81"/>
              <w:jc w:val="right"/>
              <w:rPr>
                <w:rFonts w:eastAsia="Times New Roman" w:cs="Arial"/>
                <w:lang w:eastAsia="en-GB"/>
              </w:rPr>
            </w:pPr>
            <w:r w:rsidRPr="00DA3078">
              <w:rPr>
                <w:rFonts w:eastAsia="Times New Roman" w:cs="Arial"/>
                <w:lang w:eastAsia="en-GB"/>
              </w:rPr>
              <w:t>316.6</w:t>
            </w:r>
          </w:p>
        </w:tc>
        <w:tc>
          <w:tcPr>
            <w:tcW w:w="939" w:type="dxa"/>
            <w:tcBorders>
              <w:top w:val="nil"/>
              <w:left w:val="nil"/>
              <w:bottom w:val="single" w:sz="4" w:space="0" w:color="auto"/>
              <w:right w:val="single" w:sz="4" w:space="0" w:color="auto"/>
            </w:tcBorders>
            <w:shd w:val="clear" w:color="000000" w:fill="FF0000"/>
            <w:noWrap/>
            <w:vAlign w:val="bottom"/>
            <w:hideMark/>
          </w:tcPr>
          <w:p w:rsidR="003E2086" w:rsidRPr="00DA3078" w:rsidP="004547C8">
            <w:pPr>
              <w:ind w:right="81"/>
              <w:jc w:val="right"/>
              <w:rPr>
                <w:rFonts w:eastAsia="Times New Roman" w:cs="Arial"/>
                <w:lang w:eastAsia="en-GB"/>
              </w:rPr>
            </w:pPr>
            <w:r w:rsidRPr="00DA3078">
              <w:rPr>
                <w:rFonts w:eastAsia="Times New Roman" w:cs="Arial"/>
                <w:lang w:eastAsia="en-GB"/>
              </w:rPr>
              <w:t>290.5</w:t>
            </w:r>
          </w:p>
        </w:tc>
        <w:tc>
          <w:tcPr>
            <w:tcW w:w="939" w:type="dxa"/>
            <w:tcBorders>
              <w:top w:val="nil"/>
              <w:left w:val="nil"/>
              <w:bottom w:val="single" w:sz="4" w:space="0" w:color="auto"/>
              <w:right w:val="single" w:sz="4" w:space="0" w:color="auto"/>
            </w:tcBorders>
            <w:shd w:val="clear" w:color="000000" w:fill="FF0000"/>
            <w:noWrap/>
            <w:vAlign w:val="bottom"/>
            <w:hideMark/>
          </w:tcPr>
          <w:p w:rsidR="003E2086" w:rsidRPr="00DA3078" w:rsidP="004547C8">
            <w:pPr>
              <w:ind w:right="81"/>
              <w:jc w:val="right"/>
              <w:rPr>
                <w:rFonts w:eastAsia="Times New Roman" w:cs="Arial"/>
                <w:lang w:eastAsia="en-GB"/>
              </w:rPr>
            </w:pPr>
            <w:r w:rsidRPr="00DA3078">
              <w:rPr>
                <w:rFonts w:eastAsia="Times New Roman" w:cs="Arial"/>
                <w:lang w:eastAsia="en-GB"/>
              </w:rPr>
              <w:t>278.6</w:t>
            </w:r>
          </w:p>
        </w:tc>
        <w:tc>
          <w:tcPr>
            <w:tcW w:w="939" w:type="dxa"/>
            <w:tcBorders>
              <w:top w:val="nil"/>
              <w:left w:val="nil"/>
              <w:bottom w:val="single" w:sz="4" w:space="0" w:color="auto"/>
              <w:right w:val="single" w:sz="8" w:space="0" w:color="auto"/>
            </w:tcBorders>
            <w:shd w:val="clear" w:color="000000" w:fill="FF0000"/>
            <w:noWrap/>
            <w:vAlign w:val="bottom"/>
            <w:hideMark/>
          </w:tcPr>
          <w:p w:rsidR="003E2086" w:rsidRPr="00DA3078" w:rsidP="004547C8">
            <w:pPr>
              <w:ind w:right="81"/>
              <w:jc w:val="right"/>
              <w:rPr>
                <w:rFonts w:eastAsia="Times New Roman" w:cs="Arial"/>
                <w:lang w:eastAsia="en-GB"/>
              </w:rPr>
            </w:pPr>
            <w:r w:rsidRPr="00DA3078">
              <w:rPr>
                <w:rFonts w:eastAsia="Times New Roman" w:cs="Arial"/>
                <w:lang w:eastAsia="en-GB"/>
              </w:rPr>
              <w:t>274.0</w:t>
            </w:r>
          </w:p>
        </w:tc>
      </w:tr>
      <w:tr w:rsidTr="004547C8">
        <w:tblPrEx>
          <w:tblW w:w="5896" w:type="dxa"/>
          <w:tblInd w:w="118" w:type="dxa"/>
          <w:tblLook w:val="04A0"/>
        </w:tblPrEx>
        <w:trPr>
          <w:trHeight w:val="255"/>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rsidR="003E2086" w:rsidRPr="00DA3078" w:rsidP="004547C8">
            <w:pPr>
              <w:ind w:right="81"/>
              <w:rPr>
                <w:rFonts w:eastAsia="Times New Roman" w:cs="Arial"/>
                <w:lang w:eastAsia="en-GB"/>
              </w:rPr>
            </w:pPr>
            <w:r w:rsidRPr="00DA3078">
              <w:rPr>
                <w:rFonts w:eastAsia="Times New Roman" w:cs="Arial"/>
                <w:lang w:eastAsia="en-GB"/>
              </w:rPr>
              <w:t>Pendle</w:t>
            </w:r>
          </w:p>
        </w:tc>
        <w:tc>
          <w:tcPr>
            <w:tcW w:w="939" w:type="dxa"/>
            <w:tcBorders>
              <w:top w:val="nil"/>
              <w:left w:val="nil"/>
              <w:bottom w:val="single" w:sz="4" w:space="0" w:color="auto"/>
              <w:right w:val="single" w:sz="4" w:space="0" w:color="auto"/>
            </w:tcBorders>
            <w:shd w:val="clear" w:color="000000" w:fill="FF0000"/>
            <w:noWrap/>
            <w:vAlign w:val="bottom"/>
            <w:hideMark/>
          </w:tcPr>
          <w:p w:rsidR="003E2086" w:rsidRPr="00DA3078" w:rsidP="004547C8">
            <w:pPr>
              <w:ind w:right="81"/>
              <w:jc w:val="right"/>
              <w:rPr>
                <w:rFonts w:eastAsia="Times New Roman" w:cs="Arial"/>
                <w:lang w:eastAsia="en-GB"/>
              </w:rPr>
            </w:pPr>
            <w:r w:rsidRPr="00DA3078">
              <w:rPr>
                <w:rFonts w:eastAsia="Times New Roman" w:cs="Arial"/>
                <w:lang w:eastAsia="en-GB"/>
              </w:rPr>
              <w:t>235.0</w:t>
            </w:r>
          </w:p>
        </w:tc>
        <w:tc>
          <w:tcPr>
            <w:tcW w:w="939" w:type="dxa"/>
            <w:tcBorders>
              <w:top w:val="nil"/>
              <w:left w:val="nil"/>
              <w:bottom w:val="single" w:sz="4" w:space="0" w:color="auto"/>
              <w:right w:val="single" w:sz="4" w:space="0" w:color="auto"/>
            </w:tcBorders>
            <w:shd w:val="clear" w:color="000000" w:fill="FF0000"/>
            <w:noWrap/>
            <w:vAlign w:val="bottom"/>
            <w:hideMark/>
          </w:tcPr>
          <w:p w:rsidR="003E2086" w:rsidRPr="00DA3078" w:rsidP="004547C8">
            <w:pPr>
              <w:ind w:right="81"/>
              <w:jc w:val="right"/>
              <w:rPr>
                <w:rFonts w:eastAsia="Times New Roman" w:cs="Arial"/>
                <w:lang w:eastAsia="en-GB"/>
              </w:rPr>
            </w:pPr>
            <w:r w:rsidRPr="00DA3078">
              <w:rPr>
                <w:rFonts w:eastAsia="Times New Roman" w:cs="Arial"/>
                <w:lang w:eastAsia="en-GB"/>
              </w:rPr>
              <w:t>277.5</w:t>
            </w:r>
          </w:p>
        </w:tc>
        <w:tc>
          <w:tcPr>
            <w:tcW w:w="939" w:type="dxa"/>
            <w:tcBorders>
              <w:top w:val="nil"/>
              <w:left w:val="nil"/>
              <w:bottom w:val="single" w:sz="4" w:space="0" w:color="auto"/>
              <w:right w:val="single" w:sz="4" w:space="0" w:color="auto"/>
            </w:tcBorders>
            <w:shd w:val="clear" w:color="000000" w:fill="FFC000"/>
            <w:noWrap/>
            <w:vAlign w:val="bottom"/>
            <w:hideMark/>
          </w:tcPr>
          <w:p w:rsidR="003E2086" w:rsidRPr="00DA3078" w:rsidP="004547C8">
            <w:pPr>
              <w:ind w:right="81"/>
              <w:jc w:val="right"/>
              <w:rPr>
                <w:rFonts w:eastAsia="Times New Roman" w:cs="Arial"/>
                <w:lang w:eastAsia="en-GB"/>
              </w:rPr>
            </w:pPr>
            <w:r w:rsidRPr="00DA3078">
              <w:rPr>
                <w:rFonts w:eastAsia="Times New Roman" w:cs="Arial"/>
                <w:lang w:eastAsia="en-GB"/>
              </w:rPr>
              <w:t>217.9</w:t>
            </w:r>
          </w:p>
        </w:tc>
        <w:tc>
          <w:tcPr>
            <w:tcW w:w="939" w:type="dxa"/>
            <w:tcBorders>
              <w:top w:val="nil"/>
              <w:left w:val="nil"/>
              <w:bottom w:val="single" w:sz="4" w:space="0" w:color="auto"/>
              <w:right w:val="single" w:sz="8" w:space="0" w:color="auto"/>
            </w:tcBorders>
            <w:shd w:val="clear" w:color="000000" w:fill="FFC000"/>
            <w:noWrap/>
            <w:vAlign w:val="bottom"/>
            <w:hideMark/>
          </w:tcPr>
          <w:p w:rsidR="003E2086" w:rsidRPr="00DA3078" w:rsidP="004547C8">
            <w:pPr>
              <w:ind w:right="81"/>
              <w:jc w:val="right"/>
              <w:rPr>
                <w:rFonts w:eastAsia="Times New Roman" w:cs="Arial"/>
                <w:lang w:eastAsia="en-GB"/>
              </w:rPr>
            </w:pPr>
            <w:r w:rsidRPr="00DA3078">
              <w:rPr>
                <w:rFonts w:eastAsia="Times New Roman" w:cs="Arial"/>
                <w:lang w:eastAsia="en-GB"/>
              </w:rPr>
              <w:t>206.2</w:t>
            </w:r>
          </w:p>
        </w:tc>
      </w:tr>
      <w:tr w:rsidTr="004547C8">
        <w:tblPrEx>
          <w:tblW w:w="5896" w:type="dxa"/>
          <w:tblInd w:w="118" w:type="dxa"/>
          <w:tblLook w:val="04A0"/>
        </w:tblPrEx>
        <w:trPr>
          <w:trHeight w:val="255"/>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rsidR="003E2086" w:rsidRPr="00DA3078" w:rsidP="004547C8">
            <w:pPr>
              <w:ind w:right="81"/>
              <w:rPr>
                <w:rFonts w:eastAsia="Times New Roman" w:cs="Arial"/>
                <w:lang w:eastAsia="en-GB"/>
              </w:rPr>
            </w:pPr>
            <w:r w:rsidRPr="00DA3078">
              <w:rPr>
                <w:rFonts w:eastAsia="Times New Roman" w:cs="Arial"/>
                <w:lang w:eastAsia="en-GB"/>
              </w:rPr>
              <w:t>Preston</w:t>
            </w:r>
          </w:p>
        </w:tc>
        <w:tc>
          <w:tcPr>
            <w:tcW w:w="939" w:type="dxa"/>
            <w:tcBorders>
              <w:top w:val="nil"/>
              <w:left w:val="nil"/>
              <w:bottom w:val="single" w:sz="4" w:space="0" w:color="auto"/>
              <w:right w:val="single" w:sz="4" w:space="0" w:color="auto"/>
            </w:tcBorders>
            <w:shd w:val="clear" w:color="000000" w:fill="FF0000"/>
            <w:noWrap/>
            <w:vAlign w:val="bottom"/>
            <w:hideMark/>
          </w:tcPr>
          <w:p w:rsidR="003E2086" w:rsidRPr="00DA3078" w:rsidP="004547C8">
            <w:pPr>
              <w:ind w:right="81"/>
              <w:jc w:val="right"/>
              <w:rPr>
                <w:rFonts w:eastAsia="Times New Roman" w:cs="Arial"/>
                <w:lang w:eastAsia="en-GB"/>
              </w:rPr>
            </w:pPr>
            <w:r w:rsidRPr="00DA3078">
              <w:rPr>
                <w:rFonts w:eastAsia="Times New Roman" w:cs="Arial"/>
                <w:lang w:eastAsia="en-GB"/>
              </w:rPr>
              <w:t>224.9</w:t>
            </w:r>
          </w:p>
        </w:tc>
        <w:tc>
          <w:tcPr>
            <w:tcW w:w="939" w:type="dxa"/>
            <w:tcBorders>
              <w:top w:val="nil"/>
              <w:left w:val="nil"/>
              <w:bottom w:val="single" w:sz="4" w:space="0" w:color="auto"/>
              <w:right w:val="single" w:sz="4" w:space="0" w:color="auto"/>
            </w:tcBorders>
            <w:shd w:val="clear" w:color="000000" w:fill="FF0000"/>
            <w:noWrap/>
            <w:vAlign w:val="bottom"/>
            <w:hideMark/>
          </w:tcPr>
          <w:p w:rsidR="003E2086" w:rsidRPr="00DA3078" w:rsidP="004547C8">
            <w:pPr>
              <w:ind w:right="81"/>
              <w:jc w:val="right"/>
              <w:rPr>
                <w:rFonts w:eastAsia="Times New Roman" w:cs="Arial"/>
                <w:lang w:eastAsia="en-GB"/>
              </w:rPr>
            </w:pPr>
            <w:r w:rsidRPr="00DA3078">
              <w:rPr>
                <w:rFonts w:eastAsia="Times New Roman" w:cs="Arial"/>
                <w:lang w:eastAsia="en-GB"/>
              </w:rPr>
              <w:t>247.1</w:t>
            </w:r>
          </w:p>
        </w:tc>
        <w:tc>
          <w:tcPr>
            <w:tcW w:w="939" w:type="dxa"/>
            <w:tcBorders>
              <w:top w:val="nil"/>
              <w:left w:val="nil"/>
              <w:bottom w:val="single" w:sz="4" w:space="0" w:color="auto"/>
              <w:right w:val="single" w:sz="4" w:space="0" w:color="auto"/>
            </w:tcBorders>
            <w:shd w:val="clear" w:color="000000" w:fill="FFC000"/>
            <w:noWrap/>
            <w:vAlign w:val="bottom"/>
            <w:hideMark/>
          </w:tcPr>
          <w:p w:rsidR="003E2086" w:rsidRPr="00DA3078" w:rsidP="004547C8">
            <w:pPr>
              <w:ind w:right="81"/>
              <w:jc w:val="right"/>
              <w:rPr>
                <w:rFonts w:eastAsia="Times New Roman" w:cs="Arial"/>
                <w:lang w:eastAsia="en-GB"/>
              </w:rPr>
            </w:pPr>
            <w:r w:rsidRPr="00DA3078">
              <w:rPr>
                <w:rFonts w:eastAsia="Times New Roman" w:cs="Arial"/>
                <w:lang w:eastAsia="en-GB"/>
              </w:rPr>
              <w:t>192.5</w:t>
            </w:r>
          </w:p>
        </w:tc>
        <w:tc>
          <w:tcPr>
            <w:tcW w:w="939" w:type="dxa"/>
            <w:tcBorders>
              <w:top w:val="nil"/>
              <w:left w:val="nil"/>
              <w:bottom w:val="single" w:sz="4" w:space="0" w:color="auto"/>
              <w:right w:val="single" w:sz="8" w:space="0" w:color="auto"/>
            </w:tcBorders>
            <w:shd w:val="clear" w:color="000000" w:fill="FFC000"/>
            <w:noWrap/>
            <w:vAlign w:val="bottom"/>
            <w:hideMark/>
          </w:tcPr>
          <w:p w:rsidR="003E2086" w:rsidRPr="00DA3078" w:rsidP="004547C8">
            <w:pPr>
              <w:ind w:right="81"/>
              <w:jc w:val="right"/>
              <w:rPr>
                <w:rFonts w:eastAsia="Times New Roman" w:cs="Arial"/>
                <w:lang w:eastAsia="en-GB"/>
              </w:rPr>
            </w:pPr>
            <w:r w:rsidRPr="00DA3078">
              <w:rPr>
                <w:rFonts w:eastAsia="Times New Roman" w:cs="Arial"/>
                <w:lang w:eastAsia="en-GB"/>
              </w:rPr>
              <w:t>200.3</w:t>
            </w:r>
          </w:p>
        </w:tc>
      </w:tr>
      <w:tr w:rsidTr="004547C8">
        <w:tblPrEx>
          <w:tblW w:w="5896" w:type="dxa"/>
          <w:tblInd w:w="118" w:type="dxa"/>
          <w:tblLook w:val="04A0"/>
        </w:tblPrEx>
        <w:trPr>
          <w:trHeight w:val="255"/>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rsidR="003E2086" w:rsidRPr="00DA3078" w:rsidP="004547C8">
            <w:pPr>
              <w:ind w:right="81"/>
              <w:rPr>
                <w:rFonts w:eastAsia="Times New Roman" w:cs="Arial"/>
                <w:lang w:eastAsia="en-GB"/>
              </w:rPr>
            </w:pPr>
            <w:r w:rsidRPr="00DA3078">
              <w:rPr>
                <w:rFonts w:eastAsia="Times New Roman" w:cs="Arial"/>
                <w:lang w:eastAsia="en-GB"/>
              </w:rPr>
              <w:t>Ribble Valley</w:t>
            </w:r>
          </w:p>
        </w:tc>
        <w:tc>
          <w:tcPr>
            <w:tcW w:w="939" w:type="dxa"/>
            <w:tcBorders>
              <w:top w:val="nil"/>
              <w:left w:val="nil"/>
              <w:bottom w:val="single" w:sz="4" w:space="0" w:color="auto"/>
              <w:right w:val="single" w:sz="4" w:space="0" w:color="auto"/>
            </w:tcBorders>
            <w:shd w:val="clear" w:color="000000" w:fill="FFC000"/>
            <w:noWrap/>
            <w:vAlign w:val="bottom"/>
            <w:hideMark/>
          </w:tcPr>
          <w:p w:rsidR="003E2086" w:rsidRPr="00DA3078" w:rsidP="004547C8">
            <w:pPr>
              <w:ind w:right="81"/>
              <w:jc w:val="right"/>
              <w:rPr>
                <w:rFonts w:eastAsia="Times New Roman" w:cs="Arial"/>
                <w:lang w:eastAsia="en-GB"/>
              </w:rPr>
            </w:pPr>
            <w:r w:rsidRPr="00DA3078">
              <w:rPr>
                <w:rFonts w:eastAsia="Times New Roman" w:cs="Arial"/>
                <w:lang w:eastAsia="en-GB"/>
              </w:rPr>
              <w:t>153.8</w:t>
            </w:r>
          </w:p>
        </w:tc>
        <w:tc>
          <w:tcPr>
            <w:tcW w:w="939" w:type="dxa"/>
            <w:tcBorders>
              <w:top w:val="nil"/>
              <w:left w:val="nil"/>
              <w:bottom w:val="single" w:sz="4" w:space="0" w:color="auto"/>
              <w:right w:val="single" w:sz="4" w:space="0" w:color="auto"/>
            </w:tcBorders>
            <w:shd w:val="clear" w:color="000000" w:fill="FFC000"/>
            <w:noWrap/>
            <w:vAlign w:val="bottom"/>
            <w:hideMark/>
          </w:tcPr>
          <w:p w:rsidR="003E2086" w:rsidRPr="00DA3078" w:rsidP="004547C8">
            <w:pPr>
              <w:ind w:right="81"/>
              <w:jc w:val="right"/>
              <w:rPr>
                <w:rFonts w:eastAsia="Times New Roman" w:cs="Arial"/>
                <w:lang w:eastAsia="en-GB"/>
              </w:rPr>
            </w:pPr>
            <w:r w:rsidRPr="00DA3078">
              <w:rPr>
                <w:rFonts w:eastAsia="Times New Roman" w:cs="Arial"/>
                <w:lang w:eastAsia="en-GB"/>
              </w:rPr>
              <w:t>190.9</w:t>
            </w:r>
          </w:p>
        </w:tc>
        <w:tc>
          <w:tcPr>
            <w:tcW w:w="939" w:type="dxa"/>
            <w:tcBorders>
              <w:top w:val="nil"/>
              <w:left w:val="nil"/>
              <w:bottom w:val="single" w:sz="4" w:space="0" w:color="auto"/>
              <w:right w:val="single" w:sz="4" w:space="0" w:color="auto"/>
            </w:tcBorders>
            <w:shd w:val="clear" w:color="000000" w:fill="FFC000"/>
            <w:noWrap/>
            <w:vAlign w:val="bottom"/>
            <w:hideMark/>
          </w:tcPr>
          <w:p w:rsidR="003E2086" w:rsidRPr="00DA3078" w:rsidP="004547C8">
            <w:pPr>
              <w:ind w:right="81"/>
              <w:jc w:val="right"/>
              <w:rPr>
                <w:rFonts w:eastAsia="Times New Roman" w:cs="Arial"/>
                <w:lang w:eastAsia="en-GB"/>
              </w:rPr>
            </w:pPr>
            <w:r w:rsidRPr="00DA3078">
              <w:rPr>
                <w:rFonts w:eastAsia="Times New Roman" w:cs="Arial"/>
                <w:lang w:eastAsia="en-GB"/>
              </w:rPr>
              <w:t>203.8</w:t>
            </w:r>
          </w:p>
        </w:tc>
        <w:tc>
          <w:tcPr>
            <w:tcW w:w="939" w:type="dxa"/>
            <w:tcBorders>
              <w:top w:val="nil"/>
              <w:left w:val="nil"/>
              <w:bottom w:val="single" w:sz="4" w:space="0" w:color="auto"/>
              <w:right w:val="single" w:sz="8" w:space="0" w:color="auto"/>
            </w:tcBorders>
            <w:shd w:val="clear" w:color="000000" w:fill="FFC000"/>
            <w:noWrap/>
            <w:vAlign w:val="bottom"/>
            <w:hideMark/>
          </w:tcPr>
          <w:p w:rsidR="003E2086" w:rsidRPr="00DA3078" w:rsidP="004547C8">
            <w:pPr>
              <w:ind w:right="81"/>
              <w:jc w:val="right"/>
              <w:rPr>
                <w:rFonts w:eastAsia="Times New Roman" w:cs="Arial"/>
                <w:lang w:eastAsia="en-GB"/>
              </w:rPr>
            </w:pPr>
            <w:r w:rsidRPr="00DA3078">
              <w:rPr>
                <w:rFonts w:eastAsia="Times New Roman" w:cs="Arial"/>
                <w:lang w:eastAsia="en-GB"/>
              </w:rPr>
              <w:t>188.0</w:t>
            </w:r>
          </w:p>
        </w:tc>
      </w:tr>
      <w:tr w:rsidTr="004547C8">
        <w:tblPrEx>
          <w:tblW w:w="5896" w:type="dxa"/>
          <w:tblInd w:w="118" w:type="dxa"/>
          <w:tblLook w:val="04A0"/>
        </w:tblPrEx>
        <w:trPr>
          <w:trHeight w:val="255"/>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rsidR="003E2086" w:rsidRPr="00DA3078" w:rsidP="004547C8">
            <w:pPr>
              <w:ind w:right="81"/>
              <w:rPr>
                <w:rFonts w:eastAsia="Times New Roman" w:cs="Arial"/>
                <w:lang w:eastAsia="en-GB"/>
              </w:rPr>
            </w:pPr>
            <w:r w:rsidRPr="00DA3078">
              <w:rPr>
                <w:rFonts w:eastAsia="Times New Roman" w:cs="Arial"/>
                <w:lang w:eastAsia="en-GB"/>
              </w:rPr>
              <w:t>Rossendale</w:t>
            </w:r>
          </w:p>
        </w:tc>
        <w:tc>
          <w:tcPr>
            <w:tcW w:w="939" w:type="dxa"/>
            <w:tcBorders>
              <w:top w:val="nil"/>
              <w:left w:val="nil"/>
              <w:bottom w:val="single" w:sz="4" w:space="0" w:color="auto"/>
              <w:right w:val="single" w:sz="4" w:space="0" w:color="auto"/>
            </w:tcBorders>
            <w:shd w:val="clear" w:color="000000" w:fill="FF0000"/>
            <w:noWrap/>
            <w:vAlign w:val="bottom"/>
            <w:hideMark/>
          </w:tcPr>
          <w:p w:rsidR="003E2086" w:rsidRPr="00DA3078" w:rsidP="004547C8">
            <w:pPr>
              <w:ind w:right="81"/>
              <w:jc w:val="right"/>
              <w:rPr>
                <w:rFonts w:eastAsia="Times New Roman" w:cs="Arial"/>
                <w:lang w:eastAsia="en-GB"/>
              </w:rPr>
            </w:pPr>
            <w:r w:rsidRPr="00DA3078">
              <w:rPr>
                <w:rFonts w:eastAsia="Times New Roman" w:cs="Arial"/>
                <w:lang w:eastAsia="en-GB"/>
              </w:rPr>
              <w:t>235.1</w:t>
            </w:r>
          </w:p>
        </w:tc>
        <w:tc>
          <w:tcPr>
            <w:tcW w:w="939" w:type="dxa"/>
            <w:tcBorders>
              <w:top w:val="nil"/>
              <w:left w:val="nil"/>
              <w:bottom w:val="single" w:sz="4" w:space="0" w:color="auto"/>
              <w:right w:val="single" w:sz="4" w:space="0" w:color="auto"/>
            </w:tcBorders>
            <w:shd w:val="clear" w:color="000000" w:fill="FF0000"/>
            <w:noWrap/>
            <w:vAlign w:val="bottom"/>
            <w:hideMark/>
          </w:tcPr>
          <w:p w:rsidR="003E2086" w:rsidRPr="00DA3078" w:rsidP="004547C8">
            <w:pPr>
              <w:ind w:right="81"/>
              <w:jc w:val="right"/>
              <w:rPr>
                <w:rFonts w:eastAsia="Times New Roman" w:cs="Arial"/>
                <w:lang w:eastAsia="en-GB"/>
              </w:rPr>
            </w:pPr>
            <w:r w:rsidRPr="00DA3078">
              <w:rPr>
                <w:rFonts w:eastAsia="Times New Roman" w:cs="Arial"/>
                <w:lang w:eastAsia="en-GB"/>
              </w:rPr>
              <w:t>286.4</w:t>
            </w:r>
          </w:p>
        </w:tc>
        <w:tc>
          <w:tcPr>
            <w:tcW w:w="939" w:type="dxa"/>
            <w:tcBorders>
              <w:top w:val="nil"/>
              <w:left w:val="nil"/>
              <w:bottom w:val="single" w:sz="4" w:space="0" w:color="auto"/>
              <w:right w:val="single" w:sz="4" w:space="0" w:color="auto"/>
            </w:tcBorders>
            <w:shd w:val="clear" w:color="000000" w:fill="FF0000"/>
            <w:noWrap/>
            <w:vAlign w:val="bottom"/>
            <w:hideMark/>
          </w:tcPr>
          <w:p w:rsidR="003E2086" w:rsidRPr="00DA3078" w:rsidP="004547C8">
            <w:pPr>
              <w:ind w:right="81"/>
              <w:jc w:val="right"/>
              <w:rPr>
                <w:rFonts w:eastAsia="Times New Roman" w:cs="Arial"/>
                <w:lang w:eastAsia="en-GB"/>
              </w:rPr>
            </w:pPr>
            <w:r w:rsidRPr="00DA3078">
              <w:rPr>
                <w:rFonts w:eastAsia="Times New Roman" w:cs="Arial"/>
                <w:lang w:eastAsia="en-GB"/>
              </w:rPr>
              <w:t>240.5</w:t>
            </w:r>
          </w:p>
        </w:tc>
        <w:tc>
          <w:tcPr>
            <w:tcW w:w="939" w:type="dxa"/>
            <w:tcBorders>
              <w:top w:val="nil"/>
              <w:left w:val="nil"/>
              <w:bottom w:val="single" w:sz="4" w:space="0" w:color="auto"/>
              <w:right w:val="single" w:sz="8" w:space="0" w:color="auto"/>
            </w:tcBorders>
            <w:shd w:val="clear" w:color="000000" w:fill="FFC000"/>
            <w:noWrap/>
            <w:vAlign w:val="bottom"/>
            <w:hideMark/>
          </w:tcPr>
          <w:p w:rsidR="003E2086" w:rsidRPr="00DA3078" w:rsidP="004547C8">
            <w:pPr>
              <w:ind w:right="81"/>
              <w:jc w:val="right"/>
              <w:rPr>
                <w:rFonts w:eastAsia="Times New Roman" w:cs="Arial"/>
                <w:lang w:eastAsia="en-GB"/>
              </w:rPr>
            </w:pPr>
            <w:r w:rsidRPr="00DA3078">
              <w:rPr>
                <w:rFonts w:eastAsia="Times New Roman" w:cs="Arial"/>
                <w:lang w:eastAsia="en-GB"/>
              </w:rPr>
              <w:t>222.0</w:t>
            </w:r>
          </w:p>
        </w:tc>
      </w:tr>
      <w:tr w:rsidTr="004547C8">
        <w:tblPrEx>
          <w:tblW w:w="5896" w:type="dxa"/>
          <w:tblInd w:w="118" w:type="dxa"/>
          <w:tblLook w:val="04A0"/>
        </w:tblPrEx>
        <w:trPr>
          <w:trHeight w:val="255"/>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rsidR="003E2086" w:rsidRPr="00DA3078" w:rsidP="004547C8">
            <w:pPr>
              <w:ind w:right="81"/>
              <w:rPr>
                <w:rFonts w:eastAsia="Times New Roman" w:cs="Arial"/>
                <w:lang w:eastAsia="en-GB"/>
              </w:rPr>
            </w:pPr>
            <w:r w:rsidRPr="00DA3078">
              <w:rPr>
                <w:rFonts w:eastAsia="Times New Roman" w:cs="Arial"/>
                <w:lang w:eastAsia="en-GB"/>
              </w:rPr>
              <w:t>South Ribble</w:t>
            </w:r>
          </w:p>
        </w:tc>
        <w:tc>
          <w:tcPr>
            <w:tcW w:w="939" w:type="dxa"/>
            <w:tcBorders>
              <w:top w:val="nil"/>
              <w:left w:val="nil"/>
              <w:bottom w:val="single" w:sz="4" w:space="0" w:color="auto"/>
              <w:right w:val="single" w:sz="4" w:space="0" w:color="auto"/>
            </w:tcBorders>
            <w:shd w:val="clear" w:color="000000" w:fill="FFC000"/>
            <w:noWrap/>
            <w:vAlign w:val="bottom"/>
            <w:hideMark/>
          </w:tcPr>
          <w:p w:rsidR="003E2086" w:rsidRPr="00DA3078" w:rsidP="004547C8">
            <w:pPr>
              <w:ind w:right="81"/>
              <w:jc w:val="right"/>
              <w:rPr>
                <w:rFonts w:eastAsia="Times New Roman" w:cs="Arial"/>
                <w:lang w:eastAsia="en-GB"/>
              </w:rPr>
            </w:pPr>
            <w:r w:rsidRPr="00DA3078">
              <w:rPr>
                <w:rFonts w:eastAsia="Times New Roman" w:cs="Arial"/>
                <w:lang w:eastAsia="en-GB"/>
              </w:rPr>
              <w:t>188.6</w:t>
            </w:r>
          </w:p>
        </w:tc>
        <w:tc>
          <w:tcPr>
            <w:tcW w:w="939" w:type="dxa"/>
            <w:tcBorders>
              <w:top w:val="nil"/>
              <w:left w:val="nil"/>
              <w:bottom w:val="single" w:sz="4" w:space="0" w:color="auto"/>
              <w:right w:val="single" w:sz="4" w:space="0" w:color="auto"/>
            </w:tcBorders>
            <w:shd w:val="clear" w:color="000000" w:fill="FFC000"/>
            <w:noWrap/>
            <w:vAlign w:val="bottom"/>
            <w:hideMark/>
          </w:tcPr>
          <w:p w:rsidR="003E2086" w:rsidRPr="00DA3078" w:rsidP="004547C8">
            <w:pPr>
              <w:ind w:right="81"/>
              <w:jc w:val="right"/>
              <w:rPr>
                <w:rFonts w:eastAsia="Times New Roman" w:cs="Arial"/>
                <w:lang w:eastAsia="en-GB"/>
              </w:rPr>
            </w:pPr>
            <w:r w:rsidRPr="00DA3078">
              <w:rPr>
                <w:rFonts w:eastAsia="Times New Roman" w:cs="Arial"/>
                <w:lang w:eastAsia="en-GB"/>
              </w:rPr>
              <w:t>196.6</w:t>
            </w:r>
          </w:p>
        </w:tc>
        <w:tc>
          <w:tcPr>
            <w:tcW w:w="939" w:type="dxa"/>
            <w:tcBorders>
              <w:top w:val="nil"/>
              <w:left w:val="nil"/>
              <w:bottom w:val="single" w:sz="4" w:space="0" w:color="auto"/>
              <w:right w:val="single" w:sz="4" w:space="0" w:color="auto"/>
            </w:tcBorders>
            <w:shd w:val="clear" w:color="000000" w:fill="92D050"/>
            <w:noWrap/>
            <w:vAlign w:val="bottom"/>
            <w:hideMark/>
          </w:tcPr>
          <w:p w:rsidR="003E2086" w:rsidRPr="00DA3078" w:rsidP="004547C8">
            <w:pPr>
              <w:ind w:right="81"/>
              <w:jc w:val="right"/>
              <w:rPr>
                <w:rFonts w:eastAsia="Times New Roman" w:cs="Arial"/>
                <w:lang w:eastAsia="en-GB"/>
              </w:rPr>
            </w:pPr>
            <w:r w:rsidRPr="00DA3078">
              <w:rPr>
                <w:rFonts w:eastAsia="Times New Roman" w:cs="Arial"/>
                <w:lang w:eastAsia="en-GB"/>
              </w:rPr>
              <w:t>138.0</w:t>
            </w:r>
          </w:p>
        </w:tc>
        <w:tc>
          <w:tcPr>
            <w:tcW w:w="939" w:type="dxa"/>
            <w:tcBorders>
              <w:top w:val="nil"/>
              <w:left w:val="nil"/>
              <w:bottom w:val="single" w:sz="4" w:space="0" w:color="auto"/>
              <w:right w:val="single" w:sz="8" w:space="0" w:color="auto"/>
            </w:tcBorders>
            <w:shd w:val="clear" w:color="000000" w:fill="FFC000"/>
            <w:noWrap/>
            <w:vAlign w:val="bottom"/>
            <w:hideMark/>
          </w:tcPr>
          <w:p w:rsidR="003E2086" w:rsidRPr="00DA3078" w:rsidP="004547C8">
            <w:pPr>
              <w:ind w:right="81"/>
              <w:jc w:val="right"/>
              <w:rPr>
                <w:rFonts w:eastAsia="Times New Roman" w:cs="Arial"/>
                <w:lang w:eastAsia="en-GB"/>
              </w:rPr>
            </w:pPr>
            <w:r w:rsidRPr="00DA3078">
              <w:rPr>
                <w:rFonts w:eastAsia="Times New Roman" w:cs="Arial"/>
                <w:lang w:eastAsia="en-GB"/>
              </w:rPr>
              <w:t>189.4</w:t>
            </w:r>
          </w:p>
        </w:tc>
      </w:tr>
      <w:tr w:rsidTr="004547C8">
        <w:tblPrEx>
          <w:tblW w:w="5896" w:type="dxa"/>
          <w:tblInd w:w="118" w:type="dxa"/>
          <w:tblLook w:val="04A0"/>
        </w:tblPrEx>
        <w:trPr>
          <w:trHeight w:val="255"/>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rsidR="003E2086" w:rsidRPr="00DA3078" w:rsidP="004547C8">
            <w:pPr>
              <w:ind w:right="81"/>
              <w:rPr>
                <w:rFonts w:eastAsia="Times New Roman" w:cs="Arial"/>
                <w:lang w:eastAsia="en-GB"/>
              </w:rPr>
            </w:pPr>
            <w:r w:rsidRPr="00DA3078">
              <w:rPr>
                <w:rFonts w:eastAsia="Times New Roman" w:cs="Arial"/>
                <w:lang w:eastAsia="en-GB"/>
              </w:rPr>
              <w:t>West Lancashire</w:t>
            </w:r>
          </w:p>
        </w:tc>
        <w:tc>
          <w:tcPr>
            <w:tcW w:w="939" w:type="dxa"/>
            <w:tcBorders>
              <w:top w:val="nil"/>
              <w:left w:val="nil"/>
              <w:bottom w:val="single" w:sz="4" w:space="0" w:color="auto"/>
              <w:right w:val="single" w:sz="4" w:space="0" w:color="auto"/>
            </w:tcBorders>
            <w:shd w:val="clear" w:color="000000" w:fill="FF0000"/>
            <w:noWrap/>
            <w:vAlign w:val="bottom"/>
            <w:hideMark/>
          </w:tcPr>
          <w:p w:rsidR="003E2086" w:rsidRPr="00DA3078" w:rsidP="004547C8">
            <w:pPr>
              <w:ind w:right="81"/>
              <w:jc w:val="right"/>
              <w:rPr>
                <w:rFonts w:eastAsia="Times New Roman" w:cs="Arial"/>
                <w:lang w:eastAsia="en-GB"/>
              </w:rPr>
            </w:pPr>
            <w:r w:rsidRPr="00DA3078">
              <w:rPr>
                <w:rFonts w:eastAsia="Times New Roman" w:cs="Arial"/>
                <w:lang w:eastAsia="en-GB"/>
              </w:rPr>
              <w:t>234.0</w:t>
            </w:r>
          </w:p>
        </w:tc>
        <w:tc>
          <w:tcPr>
            <w:tcW w:w="939" w:type="dxa"/>
            <w:tcBorders>
              <w:top w:val="nil"/>
              <w:left w:val="nil"/>
              <w:bottom w:val="single" w:sz="4" w:space="0" w:color="auto"/>
              <w:right w:val="single" w:sz="4" w:space="0" w:color="auto"/>
            </w:tcBorders>
            <w:shd w:val="clear" w:color="000000" w:fill="FFC000"/>
            <w:noWrap/>
            <w:vAlign w:val="bottom"/>
            <w:hideMark/>
          </w:tcPr>
          <w:p w:rsidR="003E2086" w:rsidRPr="00DA3078" w:rsidP="004547C8">
            <w:pPr>
              <w:ind w:right="81"/>
              <w:jc w:val="right"/>
              <w:rPr>
                <w:rFonts w:eastAsia="Times New Roman" w:cs="Arial"/>
                <w:lang w:eastAsia="en-GB"/>
              </w:rPr>
            </w:pPr>
            <w:r w:rsidRPr="00DA3078">
              <w:rPr>
                <w:rFonts w:eastAsia="Times New Roman" w:cs="Arial"/>
                <w:lang w:eastAsia="en-GB"/>
              </w:rPr>
              <w:t>225.2</w:t>
            </w:r>
          </w:p>
        </w:tc>
        <w:tc>
          <w:tcPr>
            <w:tcW w:w="939" w:type="dxa"/>
            <w:tcBorders>
              <w:top w:val="nil"/>
              <w:left w:val="nil"/>
              <w:bottom w:val="single" w:sz="4" w:space="0" w:color="auto"/>
              <w:right w:val="single" w:sz="4" w:space="0" w:color="auto"/>
            </w:tcBorders>
            <w:shd w:val="clear" w:color="000000" w:fill="FFC000"/>
            <w:noWrap/>
            <w:vAlign w:val="bottom"/>
            <w:hideMark/>
          </w:tcPr>
          <w:p w:rsidR="003E2086" w:rsidRPr="00DA3078" w:rsidP="004547C8">
            <w:pPr>
              <w:ind w:right="81"/>
              <w:jc w:val="right"/>
              <w:rPr>
                <w:rFonts w:eastAsia="Times New Roman" w:cs="Arial"/>
                <w:lang w:eastAsia="en-GB"/>
              </w:rPr>
            </w:pPr>
            <w:r w:rsidRPr="00DA3078">
              <w:rPr>
                <w:rFonts w:eastAsia="Times New Roman" w:cs="Arial"/>
                <w:lang w:eastAsia="en-GB"/>
              </w:rPr>
              <w:t>218.9</w:t>
            </w:r>
          </w:p>
        </w:tc>
        <w:tc>
          <w:tcPr>
            <w:tcW w:w="939" w:type="dxa"/>
            <w:tcBorders>
              <w:top w:val="nil"/>
              <w:left w:val="nil"/>
              <w:bottom w:val="single" w:sz="4" w:space="0" w:color="auto"/>
              <w:right w:val="single" w:sz="8" w:space="0" w:color="auto"/>
            </w:tcBorders>
            <w:shd w:val="clear" w:color="000000" w:fill="FFC000"/>
            <w:noWrap/>
            <w:vAlign w:val="bottom"/>
            <w:hideMark/>
          </w:tcPr>
          <w:p w:rsidR="003E2086" w:rsidRPr="00DA3078" w:rsidP="004547C8">
            <w:pPr>
              <w:ind w:right="81"/>
              <w:jc w:val="right"/>
              <w:rPr>
                <w:rFonts w:eastAsia="Times New Roman" w:cs="Arial"/>
                <w:lang w:eastAsia="en-GB"/>
              </w:rPr>
            </w:pPr>
            <w:r w:rsidRPr="00DA3078">
              <w:rPr>
                <w:rFonts w:eastAsia="Times New Roman" w:cs="Arial"/>
                <w:lang w:eastAsia="en-GB"/>
              </w:rPr>
              <w:t>204.7</w:t>
            </w:r>
          </w:p>
        </w:tc>
      </w:tr>
      <w:tr w:rsidTr="004547C8">
        <w:tblPrEx>
          <w:tblW w:w="5896" w:type="dxa"/>
          <w:tblInd w:w="118" w:type="dxa"/>
          <w:tblLook w:val="04A0"/>
        </w:tblPrEx>
        <w:trPr>
          <w:trHeight w:val="270"/>
        </w:trPr>
        <w:tc>
          <w:tcPr>
            <w:tcW w:w="2140" w:type="dxa"/>
            <w:tcBorders>
              <w:top w:val="nil"/>
              <w:left w:val="single" w:sz="8" w:space="0" w:color="auto"/>
              <w:bottom w:val="nil"/>
              <w:right w:val="single" w:sz="4" w:space="0" w:color="auto"/>
            </w:tcBorders>
            <w:shd w:val="clear" w:color="auto" w:fill="auto"/>
            <w:noWrap/>
            <w:vAlign w:val="bottom"/>
            <w:hideMark/>
          </w:tcPr>
          <w:p w:rsidR="003E2086" w:rsidRPr="00DA3078" w:rsidP="004547C8">
            <w:pPr>
              <w:ind w:right="81"/>
              <w:rPr>
                <w:rFonts w:eastAsia="Times New Roman" w:cs="Arial"/>
                <w:lang w:eastAsia="en-GB"/>
              </w:rPr>
            </w:pPr>
            <w:r w:rsidRPr="00DA3078">
              <w:rPr>
                <w:rFonts w:eastAsia="Times New Roman" w:cs="Arial"/>
                <w:lang w:eastAsia="en-GB"/>
              </w:rPr>
              <w:t>Wyre</w:t>
            </w:r>
          </w:p>
        </w:tc>
        <w:tc>
          <w:tcPr>
            <w:tcW w:w="939" w:type="dxa"/>
            <w:tcBorders>
              <w:top w:val="nil"/>
              <w:left w:val="nil"/>
              <w:bottom w:val="nil"/>
              <w:right w:val="single" w:sz="4" w:space="0" w:color="auto"/>
            </w:tcBorders>
            <w:shd w:val="clear" w:color="000000" w:fill="FF0000"/>
            <w:noWrap/>
            <w:vAlign w:val="bottom"/>
            <w:hideMark/>
          </w:tcPr>
          <w:p w:rsidR="003E2086" w:rsidRPr="00DA3078" w:rsidP="004547C8">
            <w:pPr>
              <w:ind w:right="81"/>
              <w:jc w:val="right"/>
              <w:rPr>
                <w:rFonts w:eastAsia="Times New Roman" w:cs="Arial"/>
                <w:lang w:eastAsia="en-GB"/>
              </w:rPr>
            </w:pPr>
            <w:r w:rsidRPr="00DA3078">
              <w:rPr>
                <w:rFonts w:eastAsia="Times New Roman" w:cs="Arial"/>
                <w:lang w:eastAsia="en-GB"/>
              </w:rPr>
              <w:t>237.2</w:t>
            </w:r>
          </w:p>
        </w:tc>
        <w:tc>
          <w:tcPr>
            <w:tcW w:w="939" w:type="dxa"/>
            <w:tcBorders>
              <w:top w:val="nil"/>
              <w:left w:val="nil"/>
              <w:bottom w:val="nil"/>
              <w:right w:val="single" w:sz="4" w:space="0" w:color="auto"/>
            </w:tcBorders>
            <w:shd w:val="clear" w:color="000000" w:fill="FF0000"/>
            <w:noWrap/>
            <w:vAlign w:val="bottom"/>
            <w:hideMark/>
          </w:tcPr>
          <w:p w:rsidR="003E2086" w:rsidRPr="00DA3078" w:rsidP="004547C8">
            <w:pPr>
              <w:ind w:right="81"/>
              <w:jc w:val="right"/>
              <w:rPr>
                <w:rFonts w:eastAsia="Times New Roman" w:cs="Arial"/>
                <w:lang w:eastAsia="en-GB"/>
              </w:rPr>
            </w:pPr>
            <w:r w:rsidRPr="00DA3078">
              <w:rPr>
                <w:rFonts w:eastAsia="Times New Roman" w:cs="Arial"/>
                <w:lang w:eastAsia="en-GB"/>
              </w:rPr>
              <w:t>273.8</w:t>
            </w:r>
          </w:p>
        </w:tc>
        <w:tc>
          <w:tcPr>
            <w:tcW w:w="939" w:type="dxa"/>
            <w:tcBorders>
              <w:top w:val="nil"/>
              <w:left w:val="nil"/>
              <w:bottom w:val="nil"/>
              <w:right w:val="single" w:sz="4" w:space="0" w:color="auto"/>
            </w:tcBorders>
            <w:shd w:val="clear" w:color="000000" w:fill="FF0000"/>
            <w:noWrap/>
            <w:vAlign w:val="bottom"/>
            <w:hideMark/>
          </w:tcPr>
          <w:p w:rsidR="003E2086" w:rsidRPr="00DA3078" w:rsidP="004547C8">
            <w:pPr>
              <w:ind w:right="81"/>
              <w:jc w:val="right"/>
              <w:rPr>
                <w:rFonts w:eastAsia="Times New Roman" w:cs="Arial"/>
                <w:lang w:eastAsia="en-GB"/>
              </w:rPr>
            </w:pPr>
            <w:r w:rsidRPr="00DA3078">
              <w:rPr>
                <w:rFonts w:eastAsia="Times New Roman" w:cs="Arial"/>
                <w:lang w:eastAsia="en-GB"/>
              </w:rPr>
              <w:t>264.4</w:t>
            </w:r>
          </w:p>
        </w:tc>
        <w:tc>
          <w:tcPr>
            <w:tcW w:w="939" w:type="dxa"/>
            <w:tcBorders>
              <w:top w:val="nil"/>
              <w:left w:val="nil"/>
              <w:bottom w:val="nil"/>
              <w:right w:val="single" w:sz="8" w:space="0" w:color="auto"/>
            </w:tcBorders>
            <w:shd w:val="clear" w:color="000000" w:fill="FF0000"/>
            <w:noWrap/>
            <w:vAlign w:val="bottom"/>
            <w:hideMark/>
          </w:tcPr>
          <w:p w:rsidR="003E2086" w:rsidRPr="00DA3078" w:rsidP="004547C8">
            <w:pPr>
              <w:ind w:right="81"/>
              <w:jc w:val="right"/>
              <w:rPr>
                <w:rFonts w:eastAsia="Times New Roman" w:cs="Arial"/>
                <w:lang w:eastAsia="en-GB"/>
              </w:rPr>
            </w:pPr>
            <w:r w:rsidRPr="00DA3078">
              <w:rPr>
                <w:rFonts w:eastAsia="Times New Roman" w:cs="Arial"/>
                <w:lang w:eastAsia="en-GB"/>
              </w:rPr>
              <w:t>277.5</w:t>
            </w:r>
          </w:p>
        </w:tc>
      </w:tr>
      <w:tr w:rsidTr="004547C8">
        <w:tblPrEx>
          <w:tblW w:w="5896" w:type="dxa"/>
          <w:tblInd w:w="118" w:type="dxa"/>
          <w:tblLook w:val="04A0"/>
        </w:tblPrEx>
        <w:trPr>
          <w:trHeight w:val="270"/>
        </w:trPr>
        <w:tc>
          <w:tcPr>
            <w:tcW w:w="21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E2086" w:rsidRPr="00DA3078" w:rsidP="004547C8">
            <w:pPr>
              <w:ind w:right="81"/>
              <w:rPr>
                <w:rFonts w:eastAsia="Times New Roman" w:cs="Arial"/>
                <w:b/>
                <w:bCs/>
                <w:lang w:eastAsia="en-GB"/>
              </w:rPr>
            </w:pPr>
            <w:r>
              <w:rPr>
                <w:rFonts w:eastAsia="Times New Roman" w:cs="Arial"/>
                <w:b/>
                <w:bCs/>
                <w:lang w:eastAsia="en-GB"/>
              </w:rPr>
              <w:t>Lancashire-12</w:t>
            </w:r>
          </w:p>
        </w:tc>
        <w:tc>
          <w:tcPr>
            <w:tcW w:w="939" w:type="dxa"/>
            <w:tcBorders>
              <w:top w:val="single" w:sz="8" w:space="0" w:color="auto"/>
              <w:left w:val="nil"/>
              <w:bottom w:val="single" w:sz="8" w:space="0" w:color="auto"/>
              <w:right w:val="single" w:sz="4" w:space="0" w:color="auto"/>
            </w:tcBorders>
            <w:shd w:val="clear" w:color="000000" w:fill="FF0000"/>
            <w:noWrap/>
            <w:vAlign w:val="bottom"/>
            <w:hideMark/>
          </w:tcPr>
          <w:p w:rsidR="003E2086" w:rsidRPr="00DA3078" w:rsidP="004547C8">
            <w:pPr>
              <w:ind w:right="81"/>
              <w:jc w:val="right"/>
              <w:rPr>
                <w:rFonts w:eastAsia="Times New Roman" w:cs="Arial"/>
                <w:b/>
                <w:bCs/>
                <w:lang w:eastAsia="en-GB"/>
              </w:rPr>
            </w:pPr>
            <w:r w:rsidRPr="00DA3078">
              <w:rPr>
                <w:rFonts w:eastAsia="Times New Roman" w:cs="Arial"/>
                <w:b/>
                <w:bCs/>
                <w:lang w:eastAsia="en-GB"/>
              </w:rPr>
              <w:t>246.8</w:t>
            </w:r>
          </w:p>
        </w:tc>
        <w:tc>
          <w:tcPr>
            <w:tcW w:w="939" w:type="dxa"/>
            <w:tcBorders>
              <w:top w:val="single" w:sz="8" w:space="0" w:color="auto"/>
              <w:left w:val="nil"/>
              <w:bottom w:val="single" w:sz="8" w:space="0" w:color="auto"/>
              <w:right w:val="single" w:sz="4" w:space="0" w:color="auto"/>
            </w:tcBorders>
            <w:shd w:val="clear" w:color="000000" w:fill="FF0000"/>
            <w:noWrap/>
            <w:vAlign w:val="bottom"/>
            <w:hideMark/>
          </w:tcPr>
          <w:p w:rsidR="003E2086" w:rsidRPr="00DA3078" w:rsidP="004547C8">
            <w:pPr>
              <w:ind w:right="81"/>
              <w:jc w:val="right"/>
              <w:rPr>
                <w:rFonts w:eastAsia="Times New Roman" w:cs="Arial"/>
                <w:b/>
                <w:bCs/>
                <w:lang w:eastAsia="en-GB"/>
              </w:rPr>
            </w:pPr>
            <w:r w:rsidRPr="00DA3078">
              <w:rPr>
                <w:rFonts w:eastAsia="Times New Roman" w:cs="Arial"/>
                <w:b/>
                <w:bCs/>
                <w:lang w:eastAsia="en-GB"/>
              </w:rPr>
              <w:t>260.8</w:t>
            </w:r>
          </w:p>
        </w:tc>
        <w:tc>
          <w:tcPr>
            <w:tcW w:w="939" w:type="dxa"/>
            <w:tcBorders>
              <w:top w:val="single" w:sz="8" w:space="0" w:color="auto"/>
              <w:left w:val="nil"/>
              <w:bottom w:val="single" w:sz="8" w:space="0" w:color="auto"/>
              <w:right w:val="single" w:sz="4" w:space="0" w:color="auto"/>
            </w:tcBorders>
            <w:shd w:val="clear" w:color="000000" w:fill="FF0000"/>
            <w:noWrap/>
            <w:vAlign w:val="bottom"/>
            <w:hideMark/>
          </w:tcPr>
          <w:p w:rsidR="003E2086" w:rsidRPr="00DA3078" w:rsidP="004547C8">
            <w:pPr>
              <w:ind w:right="81"/>
              <w:jc w:val="right"/>
              <w:rPr>
                <w:rFonts w:eastAsia="Times New Roman" w:cs="Arial"/>
                <w:b/>
                <w:bCs/>
                <w:lang w:eastAsia="en-GB"/>
              </w:rPr>
            </w:pPr>
            <w:r w:rsidRPr="00DA3078">
              <w:rPr>
                <w:rFonts w:eastAsia="Times New Roman" w:cs="Arial"/>
                <w:b/>
                <w:bCs/>
                <w:lang w:eastAsia="en-GB"/>
              </w:rPr>
              <w:t>236.1</w:t>
            </w:r>
          </w:p>
        </w:tc>
        <w:tc>
          <w:tcPr>
            <w:tcW w:w="939" w:type="dxa"/>
            <w:tcBorders>
              <w:top w:val="single" w:sz="8" w:space="0" w:color="auto"/>
              <w:left w:val="nil"/>
              <w:bottom w:val="single" w:sz="8" w:space="0" w:color="auto"/>
              <w:right w:val="single" w:sz="8" w:space="0" w:color="auto"/>
            </w:tcBorders>
            <w:shd w:val="clear" w:color="000000" w:fill="FF0000"/>
            <w:noWrap/>
            <w:vAlign w:val="bottom"/>
            <w:hideMark/>
          </w:tcPr>
          <w:p w:rsidR="003E2086" w:rsidRPr="00DA3078" w:rsidP="004547C8">
            <w:pPr>
              <w:ind w:right="81"/>
              <w:jc w:val="right"/>
              <w:rPr>
                <w:rFonts w:eastAsia="Times New Roman" w:cs="Arial"/>
                <w:b/>
                <w:bCs/>
                <w:lang w:eastAsia="en-GB"/>
              </w:rPr>
            </w:pPr>
            <w:r w:rsidRPr="00DA3078">
              <w:rPr>
                <w:rFonts w:eastAsia="Times New Roman" w:cs="Arial"/>
                <w:b/>
                <w:bCs/>
                <w:lang w:eastAsia="en-GB"/>
              </w:rPr>
              <w:t>235.0</w:t>
            </w:r>
          </w:p>
        </w:tc>
      </w:tr>
      <w:tr w:rsidTr="004547C8">
        <w:tblPrEx>
          <w:tblW w:w="5896" w:type="dxa"/>
          <w:tblInd w:w="118" w:type="dxa"/>
          <w:tblLook w:val="04A0"/>
        </w:tblPrEx>
        <w:trPr>
          <w:trHeight w:val="270"/>
        </w:trPr>
        <w:tc>
          <w:tcPr>
            <w:tcW w:w="21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E2086" w:rsidRPr="00DA3078" w:rsidP="004547C8">
            <w:pPr>
              <w:ind w:right="81"/>
              <w:rPr>
                <w:rFonts w:eastAsia="Times New Roman" w:cs="Arial"/>
                <w:b/>
                <w:bCs/>
                <w:lang w:eastAsia="en-GB"/>
              </w:rPr>
            </w:pPr>
            <w:r w:rsidRPr="00DA3078">
              <w:rPr>
                <w:rFonts w:eastAsia="Times New Roman" w:cs="Arial"/>
                <w:b/>
                <w:bCs/>
                <w:lang w:eastAsia="en-GB"/>
              </w:rPr>
              <w:t>England</w:t>
            </w:r>
          </w:p>
        </w:tc>
        <w:tc>
          <w:tcPr>
            <w:tcW w:w="939" w:type="dxa"/>
            <w:tcBorders>
              <w:top w:val="single" w:sz="8" w:space="0" w:color="auto"/>
              <w:left w:val="nil"/>
              <w:bottom w:val="single" w:sz="8" w:space="0" w:color="auto"/>
              <w:right w:val="single" w:sz="4" w:space="0" w:color="auto"/>
            </w:tcBorders>
            <w:shd w:val="clear" w:color="auto" w:fill="auto"/>
            <w:noWrap/>
            <w:vAlign w:val="bottom"/>
            <w:hideMark/>
          </w:tcPr>
          <w:p w:rsidR="003E2086" w:rsidRPr="00DA3078" w:rsidP="004547C8">
            <w:pPr>
              <w:ind w:right="81"/>
              <w:jc w:val="right"/>
              <w:rPr>
                <w:rFonts w:eastAsia="Times New Roman" w:cs="Arial"/>
                <w:b/>
                <w:bCs/>
                <w:lang w:eastAsia="en-GB"/>
              </w:rPr>
            </w:pPr>
            <w:r w:rsidRPr="00DA3078">
              <w:rPr>
                <w:rFonts w:eastAsia="Times New Roman" w:cs="Arial"/>
                <w:b/>
                <w:bCs/>
                <w:lang w:eastAsia="en-GB"/>
              </w:rPr>
              <w:t>189.6</w:t>
            </w:r>
          </w:p>
        </w:tc>
        <w:tc>
          <w:tcPr>
            <w:tcW w:w="939" w:type="dxa"/>
            <w:tcBorders>
              <w:top w:val="single" w:sz="8" w:space="0" w:color="auto"/>
              <w:left w:val="nil"/>
              <w:bottom w:val="single" w:sz="8" w:space="0" w:color="auto"/>
              <w:right w:val="single" w:sz="4" w:space="0" w:color="auto"/>
            </w:tcBorders>
            <w:shd w:val="clear" w:color="auto" w:fill="auto"/>
            <w:noWrap/>
            <w:vAlign w:val="bottom"/>
            <w:hideMark/>
          </w:tcPr>
          <w:p w:rsidR="003E2086" w:rsidRPr="00DA3078" w:rsidP="004547C8">
            <w:pPr>
              <w:ind w:right="81"/>
              <w:jc w:val="right"/>
              <w:rPr>
                <w:rFonts w:eastAsia="Times New Roman" w:cs="Arial"/>
                <w:b/>
                <w:bCs/>
                <w:lang w:eastAsia="en-GB"/>
              </w:rPr>
            </w:pPr>
            <w:r w:rsidRPr="00DA3078">
              <w:rPr>
                <w:rFonts w:eastAsia="Times New Roman" w:cs="Arial"/>
                <w:b/>
                <w:bCs/>
                <w:lang w:eastAsia="en-GB"/>
              </w:rPr>
              <w:t>205.9</w:t>
            </w:r>
          </w:p>
        </w:tc>
        <w:tc>
          <w:tcPr>
            <w:tcW w:w="939" w:type="dxa"/>
            <w:tcBorders>
              <w:top w:val="single" w:sz="8" w:space="0" w:color="auto"/>
              <w:left w:val="nil"/>
              <w:bottom w:val="single" w:sz="8" w:space="0" w:color="auto"/>
              <w:right w:val="single" w:sz="4" w:space="0" w:color="auto"/>
            </w:tcBorders>
            <w:shd w:val="clear" w:color="auto" w:fill="auto"/>
            <w:noWrap/>
            <w:vAlign w:val="bottom"/>
            <w:hideMark/>
          </w:tcPr>
          <w:p w:rsidR="003E2086" w:rsidRPr="00DA3078" w:rsidP="004547C8">
            <w:pPr>
              <w:ind w:right="81"/>
              <w:jc w:val="right"/>
              <w:rPr>
                <w:rFonts w:eastAsia="Times New Roman" w:cs="Arial"/>
                <w:b/>
                <w:bCs/>
                <w:lang w:eastAsia="en-GB"/>
              </w:rPr>
            </w:pPr>
            <w:r w:rsidRPr="00DA3078">
              <w:rPr>
                <w:rFonts w:eastAsia="Times New Roman" w:cs="Arial"/>
                <w:b/>
                <w:bCs/>
                <w:lang w:eastAsia="en-GB"/>
              </w:rPr>
              <w:t>193.2</w:t>
            </w:r>
          </w:p>
        </w:tc>
        <w:tc>
          <w:tcPr>
            <w:tcW w:w="939" w:type="dxa"/>
            <w:tcBorders>
              <w:top w:val="single" w:sz="8" w:space="0" w:color="auto"/>
              <w:left w:val="nil"/>
              <w:bottom w:val="single" w:sz="8" w:space="0" w:color="auto"/>
              <w:right w:val="single" w:sz="8" w:space="0" w:color="auto"/>
            </w:tcBorders>
            <w:shd w:val="clear" w:color="auto" w:fill="auto"/>
            <w:noWrap/>
            <w:vAlign w:val="bottom"/>
            <w:hideMark/>
          </w:tcPr>
          <w:p w:rsidR="003E2086" w:rsidRPr="00DA3078" w:rsidP="004547C8">
            <w:pPr>
              <w:ind w:right="81"/>
              <w:jc w:val="right"/>
              <w:rPr>
                <w:rFonts w:eastAsia="Times New Roman" w:cs="Arial"/>
                <w:b/>
                <w:bCs/>
                <w:lang w:eastAsia="en-GB"/>
              </w:rPr>
            </w:pPr>
            <w:r w:rsidRPr="00DA3078">
              <w:rPr>
                <w:rFonts w:eastAsia="Times New Roman" w:cs="Arial"/>
                <w:b/>
                <w:bCs/>
                <w:lang w:eastAsia="en-GB"/>
              </w:rPr>
              <w:t>196.5</w:t>
            </w:r>
          </w:p>
        </w:tc>
      </w:tr>
    </w:tbl>
    <w:p w:rsidR="003E2086" w:rsidRPr="00EF4205" w:rsidP="003E2086">
      <w:pPr>
        <w:pStyle w:val="ListParagraph"/>
        <w:ind w:left="0" w:right="81"/>
        <w:rPr>
          <w:rFonts w:cs="Arial"/>
          <w:sz w:val="18"/>
          <w:szCs w:val="18"/>
        </w:rPr>
      </w:pPr>
      <w:r w:rsidRPr="00EF4205">
        <w:rPr>
          <w:rFonts w:cs="Arial"/>
          <w:sz w:val="18"/>
          <w:szCs w:val="18"/>
        </w:rPr>
        <w:t>Source: P</w:t>
      </w:r>
      <w:r>
        <w:rPr>
          <w:rFonts w:cs="Arial"/>
          <w:sz w:val="18"/>
          <w:szCs w:val="18"/>
        </w:rPr>
        <w:t xml:space="preserve">ublic </w:t>
      </w:r>
      <w:r w:rsidRPr="00EF4205">
        <w:rPr>
          <w:rFonts w:cs="Arial"/>
          <w:sz w:val="18"/>
          <w:szCs w:val="18"/>
        </w:rPr>
        <w:t>H</w:t>
      </w:r>
      <w:r>
        <w:rPr>
          <w:rFonts w:cs="Arial"/>
          <w:sz w:val="18"/>
          <w:szCs w:val="18"/>
        </w:rPr>
        <w:t xml:space="preserve">ealth </w:t>
      </w:r>
      <w:r w:rsidRPr="00EF4205">
        <w:rPr>
          <w:rFonts w:cs="Arial"/>
          <w:sz w:val="18"/>
          <w:szCs w:val="18"/>
        </w:rPr>
        <w:t>E</w:t>
      </w:r>
      <w:r>
        <w:rPr>
          <w:rFonts w:cs="Arial"/>
          <w:sz w:val="18"/>
          <w:szCs w:val="18"/>
        </w:rPr>
        <w:t>ngland</w:t>
      </w:r>
      <w:r w:rsidRPr="00EF4205">
        <w:rPr>
          <w:rFonts w:cs="Arial"/>
          <w:sz w:val="18"/>
          <w:szCs w:val="18"/>
        </w:rPr>
        <w:t>, P</w:t>
      </w:r>
      <w:r>
        <w:rPr>
          <w:rFonts w:cs="Arial"/>
          <w:sz w:val="18"/>
          <w:szCs w:val="18"/>
        </w:rPr>
        <w:t xml:space="preserve">ublic </w:t>
      </w:r>
      <w:r w:rsidRPr="00EF4205">
        <w:rPr>
          <w:rFonts w:cs="Arial"/>
          <w:sz w:val="18"/>
          <w:szCs w:val="18"/>
        </w:rPr>
        <w:t>H</w:t>
      </w:r>
      <w:r>
        <w:rPr>
          <w:rFonts w:cs="Arial"/>
          <w:sz w:val="18"/>
          <w:szCs w:val="18"/>
        </w:rPr>
        <w:t xml:space="preserve">ealth </w:t>
      </w:r>
      <w:r w:rsidRPr="00EF4205">
        <w:rPr>
          <w:rFonts w:cs="Arial"/>
          <w:sz w:val="18"/>
          <w:szCs w:val="18"/>
        </w:rPr>
        <w:t>O</w:t>
      </w:r>
      <w:r>
        <w:rPr>
          <w:rFonts w:cs="Arial"/>
          <w:sz w:val="18"/>
          <w:szCs w:val="18"/>
        </w:rPr>
        <w:t xml:space="preserve">utcomes </w:t>
      </w:r>
      <w:r w:rsidRPr="00EF4205">
        <w:rPr>
          <w:rFonts w:cs="Arial"/>
          <w:sz w:val="18"/>
          <w:szCs w:val="18"/>
        </w:rPr>
        <w:t>F</w:t>
      </w:r>
      <w:r>
        <w:rPr>
          <w:rFonts w:cs="Arial"/>
          <w:sz w:val="18"/>
          <w:szCs w:val="18"/>
        </w:rPr>
        <w:t>ramework</w:t>
      </w:r>
    </w:p>
    <w:p w:rsidR="003E2086" w:rsidRPr="00014D3B" w:rsidP="003E2086">
      <w:pPr>
        <w:pStyle w:val="ListParagraph"/>
        <w:ind w:left="0" w:right="81"/>
        <w:rPr>
          <w:rFonts w:cs="Arial"/>
          <w:sz w:val="22"/>
          <w:szCs w:val="22"/>
        </w:rPr>
      </w:pPr>
    </w:p>
    <w:p w:rsidR="00445376" w:rsidP="003E2086">
      <w:pPr>
        <w:rPr>
          <w:b/>
          <w:sz w:val="24"/>
        </w:rPr>
      </w:pPr>
    </w:p>
    <w:p w:rsidR="003E2086" w:rsidP="003E2086">
      <w:pPr>
        <w:rPr>
          <w:b/>
          <w:sz w:val="24"/>
        </w:rPr>
      </w:pPr>
      <w:r w:rsidRPr="00355B9B">
        <w:rPr>
          <w:b/>
          <w:sz w:val="24"/>
        </w:rPr>
        <w:t>Existing work to address suicide in Lancashire</w:t>
      </w:r>
    </w:p>
    <w:p w:rsidR="00355B9B" w:rsidP="003E2086">
      <w:pPr>
        <w:rPr>
          <w:sz w:val="24"/>
        </w:rPr>
      </w:pPr>
      <w:r>
        <w:rPr>
          <w:sz w:val="24"/>
        </w:rPr>
        <w:t>It has been recognised for some time that rates</w:t>
      </w:r>
      <w:r>
        <w:rPr>
          <w:sz w:val="24"/>
        </w:rPr>
        <w:t xml:space="preserve"> of suicide and self-harm in Lancashire are high and are above the national average. Much work has already been done and is ongoing within Lancashire County Council and with partners to address this.</w:t>
      </w:r>
    </w:p>
    <w:p w:rsidR="00355B9B" w:rsidP="003E2086">
      <w:pPr>
        <w:rPr>
          <w:i/>
          <w:sz w:val="24"/>
        </w:rPr>
      </w:pPr>
      <w:r>
        <w:rPr>
          <w:i/>
          <w:sz w:val="24"/>
        </w:rPr>
        <w:t>Suicide audit</w:t>
      </w:r>
    </w:p>
    <w:p w:rsidR="00E04984" w:rsidP="003E2086">
      <w:pPr>
        <w:rPr>
          <w:sz w:val="24"/>
        </w:rPr>
      </w:pPr>
      <w:r>
        <w:rPr>
          <w:sz w:val="24"/>
        </w:rPr>
        <w:t>A large suicide audit encompassing the</w:t>
      </w:r>
      <w:r>
        <w:rPr>
          <w:i/>
          <w:sz w:val="24"/>
        </w:rPr>
        <w:t xml:space="preserve"> </w:t>
      </w:r>
      <w:r>
        <w:rPr>
          <w:sz w:val="24"/>
        </w:rPr>
        <w:t>two</w:t>
      </w:r>
      <w:r>
        <w:rPr>
          <w:sz w:val="24"/>
        </w:rPr>
        <w:t xml:space="preserve"> year period between April 2013 and March 2015 has recently been completed. The purpose of this project was to examine in depth each individual suicide that had occurred within the twelve districts of Lancashire County Council </w:t>
      </w:r>
      <w:r>
        <w:rPr>
          <w:sz w:val="24"/>
        </w:rPr>
        <w:t xml:space="preserve">in order to determine trends </w:t>
      </w:r>
      <w:r>
        <w:rPr>
          <w:sz w:val="24"/>
        </w:rPr>
        <w:t>and themes that are not accessible through routinely available data and that may differ from the national picture. This allows lessons to be learnt that help to prevent future suicides in Lancashire. Over the course of this project, case files from 222 sui</w:t>
      </w:r>
      <w:r>
        <w:rPr>
          <w:sz w:val="24"/>
        </w:rPr>
        <w:t>cides were reviewed and the data generated informs much of this strategy. Some of the key themes from this piece of work were as follows:</w:t>
      </w:r>
    </w:p>
    <w:p w:rsidR="00E04984" w:rsidRPr="00445376" w:rsidP="00E04984">
      <w:pPr>
        <w:pStyle w:val="ListParagraph"/>
        <w:tabs>
          <w:tab w:val="left" w:pos="851"/>
        </w:tabs>
        <w:spacing w:after="160"/>
        <w:ind w:left="360"/>
        <w:rPr>
          <w:rFonts w:asciiTheme="minorHAnsi" w:hAnsiTheme="minorHAnsi" w:cs="Arial"/>
          <w:b/>
          <w:szCs w:val="22"/>
        </w:rPr>
      </w:pPr>
      <w:r w:rsidRPr="00445376">
        <w:rPr>
          <w:rFonts w:asciiTheme="minorHAnsi" w:hAnsiTheme="minorHAnsi" w:cs="Arial"/>
          <w:b/>
          <w:szCs w:val="22"/>
        </w:rPr>
        <w:t>Demographics</w:t>
      </w:r>
    </w:p>
    <w:p w:rsidR="00E04984" w:rsidRPr="00445376" w:rsidP="00E04984">
      <w:pPr>
        <w:pStyle w:val="ListParagraph"/>
        <w:numPr>
          <w:ilvl w:val="0"/>
          <w:numId w:val="10"/>
        </w:numPr>
        <w:tabs>
          <w:tab w:val="left" w:pos="851"/>
        </w:tabs>
        <w:spacing w:after="160"/>
        <w:ind w:left="851" w:hanging="491"/>
        <w:rPr>
          <w:rFonts w:asciiTheme="minorHAnsi" w:hAnsiTheme="minorHAnsi" w:cs="Arial"/>
          <w:szCs w:val="22"/>
        </w:rPr>
      </w:pPr>
      <w:r w:rsidRPr="00445376">
        <w:rPr>
          <w:rFonts w:asciiTheme="minorHAnsi" w:hAnsiTheme="minorHAnsi" w:cs="Arial"/>
          <w:szCs w:val="22"/>
        </w:rPr>
        <w:t xml:space="preserve">In the audit cohort, deaths from suicide were highest in the 40-49 and 50-59 year age groups; and nearly 2.5 times higher in males than in females. </w:t>
      </w:r>
    </w:p>
    <w:p w:rsidR="00E04984" w:rsidP="00E04984">
      <w:pPr>
        <w:pStyle w:val="ListParagraph"/>
        <w:numPr>
          <w:ilvl w:val="0"/>
          <w:numId w:val="10"/>
        </w:numPr>
        <w:tabs>
          <w:tab w:val="left" w:pos="851"/>
        </w:tabs>
        <w:spacing w:after="160"/>
        <w:ind w:left="851" w:hanging="491"/>
        <w:rPr>
          <w:rFonts w:asciiTheme="minorHAnsi" w:hAnsiTheme="minorHAnsi" w:cs="Arial"/>
          <w:szCs w:val="22"/>
        </w:rPr>
      </w:pPr>
      <w:r w:rsidRPr="00445376">
        <w:rPr>
          <w:rFonts w:asciiTheme="minorHAnsi" w:hAnsiTheme="minorHAnsi" w:cs="Arial"/>
          <w:szCs w:val="22"/>
        </w:rPr>
        <w:t>The majority of suicides were of White British ethnicity but the representation of White Other ethnicity in</w:t>
      </w:r>
      <w:r w:rsidRPr="00445376">
        <w:rPr>
          <w:rFonts w:asciiTheme="minorHAnsi" w:hAnsiTheme="minorHAnsi" w:cs="Arial"/>
          <w:szCs w:val="22"/>
        </w:rPr>
        <w:t xml:space="preserve"> the audit cohort</w:t>
      </w:r>
      <w:r>
        <w:rPr>
          <w:rFonts w:asciiTheme="minorHAnsi" w:hAnsiTheme="minorHAnsi" w:cs="Arial"/>
          <w:szCs w:val="22"/>
        </w:rPr>
        <w:t>, which primarily consisted of Eastern Europeans,</w:t>
      </w:r>
      <w:r w:rsidRPr="00445376">
        <w:rPr>
          <w:rFonts w:asciiTheme="minorHAnsi" w:hAnsiTheme="minorHAnsi" w:cs="Arial"/>
          <w:szCs w:val="22"/>
        </w:rPr>
        <w:t xml:space="preserve"> was higher than its representation in the Lancashire population.</w:t>
      </w:r>
    </w:p>
    <w:p w:rsidR="009D16E4" w:rsidRPr="00445376" w:rsidP="00E04984">
      <w:pPr>
        <w:pStyle w:val="ListParagraph"/>
        <w:numPr>
          <w:ilvl w:val="0"/>
          <w:numId w:val="10"/>
        </w:numPr>
        <w:tabs>
          <w:tab w:val="left" w:pos="851"/>
        </w:tabs>
        <w:spacing w:after="160"/>
        <w:ind w:left="851" w:hanging="491"/>
        <w:rPr>
          <w:rFonts w:asciiTheme="minorHAnsi" w:hAnsiTheme="minorHAnsi" w:cs="Arial"/>
          <w:szCs w:val="22"/>
        </w:rPr>
      </w:pPr>
      <w:r>
        <w:rPr>
          <w:rFonts w:asciiTheme="minorHAnsi" w:hAnsiTheme="minorHAnsi" w:cs="Arial"/>
          <w:szCs w:val="22"/>
        </w:rPr>
        <w:t>23% of the deceased were unemployed at time of death, compared to between 5-7.7% of the wider Lancashire population during t</w:t>
      </w:r>
      <w:r>
        <w:rPr>
          <w:rFonts w:asciiTheme="minorHAnsi" w:hAnsiTheme="minorHAnsi" w:cs="Arial"/>
          <w:szCs w:val="22"/>
        </w:rPr>
        <w:t>he audit period.</w:t>
      </w:r>
    </w:p>
    <w:p w:rsidR="00E04984" w:rsidRPr="00445376" w:rsidP="00E04984">
      <w:pPr>
        <w:pStyle w:val="ListParagraph"/>
        <w:tabs>
          <w:tab w:val="left" w:pos="851"/>
        </w:tabs>
        <w:spacing w:after="160"/>
        <w:ind w:left="360"/>
        <w:rPr>
          <w:rFonts w:asciiTheme="minorHAnsi" w:hAnsiTheme="minorHAnsi" w:cs="Arial"/>
          <w:szCs w:val="22"/>
        </w:rPr>
      </w:pPr>
    </w:p>
    <w:p w:rsidR="00E04984" w:rsidRPr="00445376" w:rsidP="00E04984">
      <w:pPr>
        <w:pStyle w:val="ListParagraph"/>
        <w:tabs>
          <w:tab w:val="left" w:pos="851"/>
        </w:tabs>
        <w:spacing w:after="160"/>
        <w:ind w:left="284"/>
        <w:rPr>
          <w:rFonts w:asciiTheme="minorHAnsi" w:hAnsiTheme="minorHAnsi" w:cs="Arial"/>
          <w:b/>
          <w:szCs w:val="22"/>
        </w:rPr>
      </w:pPr>
      <w:r w:rsidRPr="00445376">
        <w:rPr>
          <w:rFonts w:asciiTheme="minorHAnsi" w:hAnsiTheme="minorHAnsi" w:cs="Arial"/>
          <w:b/>
          <w:szCs w:val="22"/>
        </w:rPr>
        <w:t xml:space="preserve">Deprivation and geography </w:t>
      </w:r>
    </w:p>
    <w:p w:rsidR="00E04984" w:rsidRPr="00445376" w:rsidP="00E04984">
      <w:pPr>
        <w:pStyle w:val="ListParagraph"/>
        <w:numPr>
          <w:ilvl w:val="0"/>
          <w:numId w:val="10"/>
        </w:numPr>
        <w:tabs>
          <w:tab w:val="left" w:pos="851"/>
        </w:tabs>
        <w:spacing w:after="160"/>
        <w:ind w:left="851" w:hanging="491"/>
        <w:rPr>
          <w:rFonts w:asciiTheme="minorHAnsi" w:hAnsiTheme="minorHAnsi" w:cs="Arial"/>
          <w:szCs w:val="22"/>
        </w:rPr>
      </w:pPr>
      <w:r w:rsidRPr="00445376">
        <w:rPr>
          <w:rFonts w:asciiTheme="minorHAnsi" w:hAnsiTheme="minorHAnsi" w:cs="Arial"/>
          <w:szCs w:val="22"/>
        </w:rPr>
        <w:t>A significantly higher proportion of the deceased resided in the 20% most deprived areas compared to the 20% least deprived areas.</w:t>
      </w:r>
    </w:p>
    <w:p w:rsidR="00E04984" w:rsidRPr="00445376" w:rsidP="00E04984">
      <w:pPr>
        <w:pStyle w:val="ListParagraph"/>
        <w:numPr>
          <w:ilvl w:val="0"/>
          <w:numId w:val="10"/>
        </w:numPr>
        <w:tabs>
          <w:tab w:val="left" w:pos="851"/>
        </w:tabs>
        <w:spacing w:after="160"/>
        <w:ind w:left="851" w:hanging="491"/>
        <w:rPr>
          <w:rFonts w:asciiTheme="minorHAnsi" w:hAnsiTheme="minorHAnsi" w:cs="Arial"/>
          <w:szCs w:val="22"/>
        </w:rPr>
      </w:pPr>
      <w:r w:rsidRPr="00445376">
        <w:rPr>
          <w:rFonts w:asciiTheme="minorHAnsi" w:hAnsiTheme="minorHAnsi" w:cs="Arial"/>
          <w:szCs w:val="22"/>
        </w:rPr>
        <w:t>There were more suicides amongst the youngest age groups in the most deprived ar</w:t>
      </w:r>
      <w:r w:rsidRPr="00445376">
        <w:rPr>
          <w:rFonts w:asciiTheme="minorHAnsi" w:hAnsiTheme="minorHAnsi" w:cs="Arial"/>
          <w:szCs w:val="22"/>
        </w:rPr>
        <w:t>eas, whilst there were more suicides amongst the oldest age groups in the least deprived areas.</w:t>
      </w:r>
    </w:p>
    <w:p w:rsidR="00E04984" w:rsidRPr="00445376" w:rsidP="00E04984">
      <w:pPr>
        <w:pStyle w:val="ListParagraph"/>
        <w:tabs>
          <w:tab w:val="left" w:pos="851"/>
        </w:tabs>
        <w:spacing w:after="160"/>
        <w:rPr>
          <w:rFonts w:asciiTheme="minorHAnsi" w:hAnsiTheme="minorHAnsi" w:cs="Arial"/>
          <w:szCs w:val="22"/>
        </w:rPr>
      </w:pPr>
    </w:p>
    <w:p w:rsidR="00E04984" w:rsidRPr="00445376" w:rsidP="00E04984">
      <w:pPr>
        <w:pStyle w:val="ListParagraph"/>
        <w:tabs>
          <w:tab w:val="left" w:pos="851"/>
        </w:tabs>
        <w:spacing w:after="160"/>
        <w:ind w:left="284"/>
        <w:rPr>
          <w:rFonts w:asciiTheme="minorHAnsi" w:hAnsiTheme="minorHAnsi" w:cs="Arial"/>
          <w:b/>
          <w:szCs w:val="22"/>
        </w:rPr>
      </w:pPr>
      <w:r w:rsidRPr="00445376">
        <w:rPr>
          <w:rFonts w:asciiTheme="minorHAnsi" w:hAnsiTheme="minorHAnsi" w:cs="Arial"/>
          <w:b/>
          <w:szCs w:val="22"/>
        </w:rPr>
        <w:t>Circumstances of death</w:t>
      </w:r>
    </w:p>
    <w:p w:rsidR="00E04984" w:rsidRPr="00445376" w:rsidP="00E04984">
      <w:pPr>
        <w:pStyle w:val="ListParagraph"/>
        <w:numPr>
          <w:ilvl w:val="0"/>
          <w:numId w:val="10"/>
        </w:numPr>
        <w:tabs>
          <w:tab w:val="left" w:pos="851"/>
        </w:tabs>
        <w:spacing w:after="160"/>
        <w:ind w:left="851" w:hanging="491"/>
        <w:rPr>
          <w:rFonts w:asciiTheme="minorHAnsi" w:hAnsiTheme="minorHAnsi" w:cs="Arial"/>
          <w:szCs w:val="22"/>
        </w:rPr>
      </w:pPr>
      <w:r w:rsidRPr="00445376">
        <w:rPr>
          <w:rFonts w:asciiTheme="minorHAnsi" w:hAnsiTheme="minorHAnsi" w:cs="Arial"/>
          <w:szCs w:val="22"/>
        </w:rPr>
        <w:t>70% of the deceased were single, divorced, separated o</w:t>
      </w:r>
      <w:r>
        <w:rPr>
          <w:rFonts w:asciiTheme="minorHAnsi" w:hAnsiTheme="minorHAnsi" w:cs="Arial"/>
          <w:szCs w:val="22"/>
        </w:rPr>
        <w:t>r widowed and 43%</w:t>
      </w:r>
      <w:r w:rsidRPr="00445376">
        <w:rPr>
          <w:rFonts w:asciiTheme="minorHAnsi" w:hAnsiTheme="minorHAnsi" w:cs="Arial"/>
          <w:szCs w:val="22"/>
        </w:rPr>
        <w:t xml:space="preserve"> were living alone at time of death</w:t>
      </w:r>
      <w:r>
        <w:rPr>
          <w:rFonts w:asciiTheme="minorHAnsi" w:hAnsiTheme="minorHAnsi" w:cs="Arial"/>
          <w:szCs w:val="22"/>
        </w:rPr>
        <w:t>, suggesting high levels of so</w:t>
      </w:r>
      <w:r>
        <w:rPr>
          <w:rFonts w:asciiTheme="minorHAnsi" w:hAnsiTheme="minorHAnsi" w:cs="Arial"/>
          <w:szCs w:val="22"/>
        </w:rPr>
        <w:t>cial isolation.</w:t>
      </w:r>
    </w:p>
    <w:p w:rsidR="00E04984" w:rsidRPr="00445376" w:rsidP="00E04984">
      <w:pPr>
        <w:pStyle w:val="ListParagraph"/>
        <w:numPr>
          <w:ilvl w:val="0"/>
          <w:numId w:val="10"/>
        </w:numPr>
        <w:tabs>
          <w:tab w:val="left" w:pos="851"/>
        </w:tabs>
        <w:spacing w:after="160"/>
        <w:ind w:left="851" w:hanging="491"/>
        <w:rPr>
          <w:rFonts w:asciiTheme="minorHAnsi" w:hAnsiTheme="minorHAnsi" w:cs="Arial"/>
          <w:szCs w:val="22"/>
        </w:rPr>
      </w:pPr>
      <w:r w:rsidRPr="00445376">
        <w:rPr>
          <w:rFonts w:asciiTheme="minorHAnsi" w:hAnsiTheme="minorHAnsi" w:cs="Arial"/>
          <w:szCs w:val="22"/>
        </w:rPr>
        <w:t xml:space="preserve">Hanging was the most common method of suicide, followed by self-poisoning. </w:t>
      </w:r>
    </w:p>
    <w:p w:rsidR="00E04984" w:rsidRPr="00445376" w:rsidP="00E04984">
      <w:pPr>
        <w:pStyle w:val="ListParagraph"/>
        <w:numPr>
          <w:ilvl w:val="0"/>
          <w:numId w:val="10"/>
        </w:numPr>
        <w:tabs>
          <w:tab w:val="left" w:pos="851"/>
        </w:tabs>
        <w:spacing w:after="160"/>
        <w:ind w:left="851" w:hanging="491"/>
        <w:rPr>
          <w:rFonts w:asciiTheme="minorHAnsi" w:hAnsiTheme="minorHAnsi" w:cs="Arial"/>
          <w:szCs w:val="22"/>
        </w:rPr>
      </w:pPr>
      <w:r w:rsidRPr="00445376">
        <w:rPr>
          <w:rFonts w:asciiTheme="minorHAnsi" w:hAnsiTheme="minorHAnsi" w:cs="Arial"/>
          <w:szCs w:val="22"/>
        </w:rPr>
        <w:t>Of those who took their life by self-poisoning, 40% had used opiates</w:t>
      </w:r>
      <w:r>
        <w:rPr>
          <w:rFonts w:asciiTheme="minorHAnsi" w:hAnsiTheme="minorHAnsi" w:cs="Arial"/>
          <w:szCs w:val="22"/>
        </w:rPr>
        <w:t xml:space="preserve"> (primarily prescribed painkillers)</w:t>
      </w:r>
      <w:r w:rsidRPr="00445376">
        <w:rPr>
          <w:rFonts w:asciiTheme="minorHAnsi" w:hAnsiTheme="minorHAnsi" w:cs="Arial"/>
          <w:szCs w:val="22"/>
        </w:rPr>
        <w:t xml:space="preserve">, 30% had used tricyclic antidepressants and the most common </w:t>
      </w:r>
      <w:r w:rsidRPr="00445376">
        <w:rPr>
          <w:rFonts w:asciiTheme="minorHAnsi" w:hAnsiTheme="minorHAnsi" w:cs="Arial"/>
          <w:szCs w:val="22"/>
        </w:rPr>
        <w:t>source of substances was prescribed for the subject.</w:t>
      </w:r>
    </w:p>
    <w:p w:rsidR="00E04984" w:rsidRPr="00445376" w:rsidP="00E04984">
      <w:pPr>
        <w:pStyle w:val="ListParagraph"/>
        <w:numPr>
          <w:ilvl w:val="0"/>
          <w:numId w:val="10"/>
        </w:numPr>
        <w:tabs>
          <w:tab w:val="left" w:pos="851"/>
        </w:tabs>
        <w:spacing w:after="160"/>
        <w:ind w:left="851" w:hanging="491"/>
        <w:rPr>
          <w:rFonts w:asciiTheme="minorHAnsi" w:hAnsiTheme="minorHAnsi" w:cs="Arial"/>
          <w:szCs w:val="22"/>
        </w:rPr>
      </w:pPr>
      <w:r w:rsidRPr="00445376">
        <w:rPr>
          <w:rFonts w:asciiTheme="minorHAnsi" w:hAnsiTheme="minorHAnsi" w:cs="Arial"/>
          <w:szCs w:val="22"/>
        </w:rPr>
        <w:t>The top factors contributing to suicide were: mental illness, financial difficulties, relationship breakdown, substance misuse, bereavement (including bereavement by suicide), ongoing criminal investigat</w:t>
      </w:r>
      <w:r w:rsidRPr="00445376">
        <w:rPr>
          <w:rFonts w:asciiTheme="minorHAnsi" w:hAnsiTheme="minorHAnsi" w:cs="Arial"/>
          <w:szCs w:val="22"/>
        </w:rPr>
        <w:t>ion/recent police contact and abuse.</w:t>
      </w:r>
    </w:p>
    <w:p w:rsidR="00E04984" w:rsidRPr="00445376" w:rsidP="00E04984">
      <w:pPr>
        <w:pStyle w:val="ListParagraph"/>
        <w:numPr>
          <w:ilvl w:val="0"/>
          <w:numId w:val="10"/>
        </w:numPr>
        <w:tabs>
          <w:tab w:val="left" w:pos="851"/>
        </w:tabs>
        <w:spacing w:after="160"/>
        <w:ind w:left="851" w:hanging="491"/>
        <w:rPr>
          <w:rFonts w:asciiTheme="minorHAnsi" w:hAnsiTheme="minorHAnsi" w:cs="Arial"/>
          <w:szCs w:val="22"/>
        </w:rPr>
      </w:pPr>
      <w:r w:rsidRPr="00445376">
        <w:rPr>
          <w:rFonts w:asciiTheme="minorHAnsi" w:hAnsiTheme="minorHAnsi" w:cs="Arial"/>
          <w:szCs w:val="22"/>
        </w:rPr>
        <w:t xml:space="preserve">Where there was an ongoing criminal investigation or recent police contact, the most common offence was child sex offences. </w:t>
      </w:r>
    </w:p>
    <w:p w:rsidR="00E04984" w:rsidRPr="00445376" w:rsidP="00E04984">
      <w:pPr>
        <w:pStyle w:val="ListParagraph"/>
        <w:tabs>
          <w:tab w:val="left" w:pos="851"/>
        </w:tabs>
        <w:spacing w:after="160"/>
        <w:rPr>
          <w:rFonts w:asciiTheme="minorHAnsi" w:hAnsiTheme="minorHAnsi" w:cs="Arial"/>
          <w:szCs w:val="22"/>
        </w:rPr>
      </w:pPr>
    </w:p>
    <w:p w:rsidR="00E04984" w:rsidRPr="00445376" w:rsidP="00E04984">
      <w:pPr>
        <w:pStyle w:val="ListParagraph"/>
        <w:tabs>
          <w:tab w:val="left" w:pos="851"/>
        </w:tabs>
        <w:spacing w:after="160"/>
        <w:ind w:left="284"/>
        <w:rPr>
          <w:rFonts w:asciiTheme="minorHAnsi" w:hAnsiTheme="minorHAnsi" w:cs="Arial"/>
          <w:b/>
          <w:szCs w:val="22"/>
        </w:rPr>
      </w:pPr>
      <w:r w:rsidRPr="00445376">
        <w:rPr>
          <w:rFonts w:asciiTheme="minorHAnsi" w:hAnsiTheme="minorHAnsi" w:cs="Arial"/>
          <w:b/>
          <w:szCs w:val="22"/>
        </w:rPr>
        <w:t>Mental health diagnoses and contact with services</w:t>
      </w:r>
    </w:p>
    <w:p w:rsidR="00E04984" w:rsidRPr="00445376" w:rsidP="00E04984">
      <w:pPr>
        <w:pStyle w:val="ListParagraph"/>
        <w:numPr>
          <w:ilvl w:val="0"/>
          <w:numId w:val="10"/>
        </w:numPr>
        <w:tabs>
          <w:tab w:val="left" w:pos="851"/>
        </w:tabs>
        <w:spacing w:after="160"/>
        <w:ind w:left="851" w:hanging="491"/>
        <w:rPr>
          <w:rFonts w:asciiTheme="minorHAnsi" w:hAnsiTheme="minorHAnsi" w:cs="Arial"/>
          <w:szCs w:val="22"/>
        </w:rPr>
      </w:pPr>
      <w:r>
        <w:rPr>
          <w:rFonts w:asciiTheme="minorHAnsi" w:hAnsiTheme="minorHAnsi" w:cs="Arial"/>
          <w:szCs w:val="22"/>
        </w:rPr>
        <w:t>A</w:t>
      </w:r>
      <w:r w:rsidRPr="00445376">
        <w:rPr>
          <w:rFonts w:asciiTheme="minorHAnsi" w:hAnsiTheme="minorHAnsi" w:cs="Arial"/>
          <w:szCs w:val="22"/>
        </w:rPr>
        <w:t xml:space="preserve"> quarter of the deceased had</w:t>
      </w:r>
      <w:r>
        <w:rPr>
          <w:rFonts w:asciiTheme="minorHAnsi" w:hAnsiTheme="minorHAnsi" w:cs="Arial"/>
          <w:szCs w:val="22"/>
        </w:rPr>
        <w:t xml:space="preserve"> either</w:t>
      </w:r>
      <w:r w:rsidRPr="00445376">
        <w:rPr>
          <w:rFonts w:asciiTheme="minorHAnsi" w:hAnsiTheme="minorHAnsi" w:cs="Arial"/>
          <w:szCs w:val="22"/>
        </w:rPr>
        <w:t xml:space="preserve"> visite</w:t>
      </w:r>
      <w:r w:rsidRPr="00445376">
        <w:rPr>
          <w:rFonts w:asciiTheme="minorHAnsi" w:hAnsiTheme="minorHAnsi" w:cs="Arial"/>
          <w:szCs w:val="22"/>
        </w:rPr>
        <w:t>d their GP for a mental health condition</w:t>
      </w:r>
      <w:r>
        <w:rPr>
          <w:rFonts w:asciiTheme="minorHAnsi" w:hAnsiTheme="minorHAnsi" w:cs="Arial"/>
          <w:szCs w:val="22"/>
        </w:rPr>
        <w:t xml:space="preserve"> or been seen by specialist mental health services</w:t>
      </w:r>
      <w:r w:rsidRPr="00445376">
        <w:rPr>
          <w:rFonts w:asciiTheme="minorHAnsi" w:hAnsiTheme="minorHAnsi" w:cs="Arial"/>
          <w:szCs w:val="22"/>
        </w:rPr>
        <w:t xml:space="preserve"> </w:t>
      </w:r>
      <w:r>
        <w:rPr>
          <w:rFonts w:asciiTheme="minorHAnsi" w:hAnsiTheme="minorHAnsi" w:cs="Arial"/>
          <w:szCs w:val="22"/>
        </w:rPr>
        <w:t>in the week</w:t>
      </w:r>
      <w:r w:rsidRPr="00445376">
        <w:rPr>
          <w:rFonts w:asciiTheme="minorHAnsi" w:hAnsiTheme="minorHAnsi" w:cs="Arial"/>
          <w:szCs w:val="22"/>
        </w:rPr>
        <w:t xml:space="preserve"> before their death.</w:t>
      </w:r>
    </w:p>
    <w:p w:rsidR="00E04984" w:rsidP="00E04984">
      <w:pPr>
        <w:pStyle w:val="ListParagraph"/>
        <w:numPr>
          <w:ilvl w:val="0"/>
          <w:numId w:val="10"/>
        </w:numPr>
        <w:tabs>
          <w:tab w:val="left" w:pos="851"/>
        </w:tabs>
        <w:spacing w:after="160"/>
        <w:ind w:left="851" w:hanging="491"/>
        <w:rPr>
          <w:rFonts w:asciiTheme="minorHAnsi" w:hAnsiTheme="minorHAnsi" w:cs="Arial"/>
          <w:szCs w:val="22"/>
        </w:rPr>
      </w:pPr>
      <w:r w:rsidRPr="00445376">
        <w:rPr>
          <w:rFonts w:asciiTheme="minorHAnsi" w:hAnsiTheme="minorHAnsi" w:cs="Arial"/>
          <w:szCs w:val="22"/>
        </w:rPr>
        <w:t>Compared with females</w:t>
      </w:r>
      <w:r>
        <w:rPr>
          <w:rFonts w:asciiTheme="minorHAnsi" w:hAnsiTheme="minorHAnsi" w:cs="Arial"/>
          <w:szCs w:val="22"/>
        </w:rPr>
        <w:t xml:space="preserve"> (77%)</w:t>
      </w:r>
      <w:r w:rsidRPr="00445376">
        <w:rPr>
          <w:rFonts w:asciiTheme="minorHAnsi" w:hAnsiTheme="minorHAnsi" w:cs="Arial"/>
          <w:szCs w:val="22"/>
        </w:rPr>
        <w:t>, a lower proportion of males</w:t>
      </w:r>
      <w:r>
        <w:rPr>
          <w:rFonts w:asciiTheme="minorHAnsi" w:hAnsiTheme="minorHAnsi" w:cs="Arial"/>
          <w:szCs w:val="22"/>
        </w:rPr>
        <w:t xml:space="preserve"> (63%) had a mental health diagnosis and</w:t>
      </w:r>
      <w:r w:rsidRPr="00445376">
        <w:rPr>
          <w:rFonts w:asciiTheme="minorHAnsi" w:hAnsiTheme="minorHAnsi" w:cs="Arial"/>
          <w:szCs w:val="22"/>
        </w:rPr>
        <w:t xml:space="preserve"> multiple GP consultations for mental</w:t>
      </w:r>
      <w:r w:rsidRPr="00445376">
        <w:rPr>
          <w:rFonts w:asciiTheme="minorHAnsi" w:hAnsiTheme="minorHAnsi" w:cs="Arial"/>
          <w:szCs w:val="22"/>
        </w:rPr>
        <w:t xml:space="preserve"> health problems during the previous 12 months; suggesting that males may be less likely to seek and receive support.</w:t>
      </w:r>
    </w:p>
    <w:p w:rsidR="009D16E4" w:rsidRPr="00445376" w:rsidP="009D16E4">
      <w:pPr>
        <w:pStyle w:val="ListParagraph"/>
        <w:numPr>
          <w:ilvl w:val="0"/>
          <w:numId w:val="10"/>
        </w:numPr>
        <w:tabs>
          <w:tab w:val="left" w:pos="851"/>
        </w:tabs>
        <w:spacing w:after="160"/>
        <w:ind w:left="851" w:hanging="491"/>
        <w:rPr>
          <w:rFonts w:asciiTheme="minorHAnsi" w:hAnsiTheme="minorHAnsi" w:cs="Arial"/>
          <w:szCs w:val="22"/>
        </w:rPr>
      </w:pPr>
      <w:r w:rsidRPr="00445376">
        <w:rPr>
          <w:rFonts w:asciiTheme="minorHAnsi" w:hAnsiTheme="minorHAnsi" w:cs="Arial"/>
          <w:szCs w:val="22"/>
        </w:rPr>
        <w:t>Depression, anxiety disorders and substance misuse were the three most common mental health diagnoses amongst the audit cohort.</w:t>
      </w:r>
    </w:p>
    <w:p w:rsidR="009D16E4" w:rsidRPr="00445376" w:rsidP="00E04984">
      <w:pPr>
        <w:pStyle w:val="ListParagraph"/>
        <w:numPr>
          <w:ilvl w:val="0"/>
          <w:numId w:val="10"/>
        </w:numPr>
        <w:tabs>
          <w:tab w:val="left" w:pos="851"/>
        </w:tabs>
        <w:spacing w:after="160"/>
        <w:ind w:left="851" w:hanging="491"/>
        <w:rPr>
          <w:rFonts w:asciiTheme="minorHAnsi" w:hAnsiTheme="minorHAnsi" w:cs="Arial"/>
          <w:szCs w:val="22"/>
        </w:rPr>
      </w:pPr>
      <w:r>
        <w:rPr>
          <w:rFonts w:asciiTheme="minorHAnsi" w:hAnsiTheme="minorHAnsi" w:cs="Arial"/>
          <w:szCs w:val="22"/>
        </w:rPr>
        <w:t>46% of the</w:t>
      </w:r>
      <w:r>
        <w:rPr>
          <w:rFonts w:asciiTheme="minorHAnsi" w:hAnsiTheme="minorHAnsi" w:cs="Arial"/>
          <w:szCs w:val="22"/>
        </w:rPr>
        <w:t xml:space="preserve"> deceased had a history of contact with mental health services.</w:t>
      </w:r>
    </w:p>
    <w:p w:rsidR="00E04984" w:rsidP="00E04984">
      <w:pPr>
        <w:pStyle w:val="ListParagraph"/>
        <w:numPr>
          <w:ilvl w:val="0"/>
          <w:numId w:val="10"/>
        </w:numPr>
        <w:tabs>
          <w:tab w:val="left" w:pos="851"/>
        </w:tabs>
        <w:spacing w:after="160"/>
        <w:ind w:left="851" w:hanging="491"/>
        <w:rPr>
          <w:rFonts w:asciiTheme="minorHAnsi" w:hAnsiTheme="minorHAnsi" w:cs="Arial"/>
          <w:szCs w:val="22"/>
        </w:rPr>
      </w:pPr>
      <w:r w:rsidRPr="00445376">
        <w:rPr>
          <w:rFonts w:asciiTheme="minorHAnsi" w:hAnsiTheme="minorHAnsi" w:cs="Arial"/>
          <w:szCs w:val="22"/>
        </w:rPr>
        <w:t>41% of the deceased had a history of self-harm and 43% of the deceased had a history of alcohol and/or drug misuse.</w:t>
      </w:r>
    </w:p>
    <w:p w:rsidR="009D16E4" w:rsidRPr="00445376" w:rsidP="00E04984">
      <w:pPr>
        <w:pStyle w:val="ListParagraph"/>
        <w:numPr>
          <w:ilvl w:val="0"/>
          <w:numId w:val="10"/>
        </w:numPr>
        <w:tabs>
          <w:tab w:val="left" w:pos="851"/>
        </w:tabs>
        <w:spacing w:after="160"/>
        <w:ind w:left="851" w:hanging="491"/>
        <w:rPr>
          <w:rFonts w:asciiTheme="minorHAnsi" w:hAnsiTheme="minorHAnsi" w:cs="Arial"/>
          <w:szCs w:val="22"/>
        </w:rPr>
      </w:pPr>
      <w:r>
        <w:rPr>
          <w:rFonts w:asciiTheme="minorHAnsi" w:hAnsiTheme="minorHAnsi" w:cs="Arial"/>
          <w:szCs w:val="22"/>
        </w:rPr>
        <w:t>12% of all individuals, and 25% of all females, had been victims of physical</w:t>
      </w:r>
      <w:r>
        <w:rPr>
          <w:rFonts w:asciiTheme="minorHAnsi" w:hAnsiTheme="minorHAnsi" w:cs="Arial"/>
          <w:szCs w:val="22"/>
        </w:rPr>
        <w:t xml:space="preserve"> or sexual abuse.</w:t>
      </w:r>
    </w:p>
    <w:p w:rsidR="00E04984" w:rsidRPr="00445376" w:rsidP="003E2086">
      <w:pPr>
        <w:pStyle w:val="ListParagraph"/>
        <w:numPr>
          <w:ilvl w:val="0"/>
          <w:numId w:val="10"/>
        </w:numPr>
        <w:tabs>
          <w:tab w:val="left" w:pos="851"/>
        </w:tabs>
        <w:spacing w:after="160"/>
        <w:ind w:left="851" w:hanging="491"/>
        <w:rPr>
          <w:rFonts w:asciiTheme="minorHAnsi" w:hAnsiTheme="minorHAnsi" w:cs="Arial"/>
          <w:szCs w:val="22"/>
        </w:rPr>
      </w:pPr>
      <w:r w:rsidRPr="00445376">
        <w:rPr>
          <w:rFonts w:asciiTheme="minorHAnsi" w:hAnsiTheme="minorHAnsi" w:cs="Arial"/>
          <w:szCs w:val="22"/>
        </w:rPr>
        <w:t>Aside from health services the most common other agencies that individuals had been in contact with were the police, substance misuse services and social services.</w:t>
      </w:r>
    </w:p>
    <w:p w:rsidR="00355B9B" w:rsidP="003E2086">
      <w:pPr>
        <w:rPr>
          <w:sz w:val="24"/>
        </w:rPr>
      </w:pPr>
      <w:r>
        <w:rPr>
          <w:sz w:val="24"/>
        </w:rPr>
        <w:t xml:space="preserve"> The full suicide audit report can be accessed via the Lancashire County </w:t>
      </w:r>
      <w:r>
        <w:rPr>
          <w:sz w:val="24"/>
        </w:rPr>
        <w:t xml:space="preserve">Council website </w:t>
      </w:r>
      <w:r w:rsidRPr="00B828A1">
        <w:rPr>
          <w:sz w:val="24"/>
          <w:highlight w:val="yellow"/>
        </w:rPr>
        <w:t>(insert hyperlink when published online)</w:t>
      </w:r>
      <w:r>
        <w:rPr>
          <w:sz w:val="24"/>
        </w:rPr>
        <w:t>.</w:t>
      </w:r>
    </w:p>
    <w:p w:rsidR="00C12ED9" w:rsidP="003E2086">
      <w:pPr>
        <w:rPr>
          <w:sz w:val="24"/>
        </w:rPr>
      </w:pPr>
    </w:p>
    <w:p w:rsidR="00B828A1" w:rsidP="003E2086">
      <w:pPr>
        <w:rPr>
          <w:i/>
          <w:sz w:val="24"/>
        </w:rPr>
      </w:pPr>
      <w:r>
        <w:rPr>
          <w:i/>
          <w:sz w:val="24"/>
        </w:rPr>
        <w:t>The Lancashire and South Cumbria Sustainability and Transformation Plan</w:t>
      </w:r>
    </w:p>
    <w:p w:rsidR="00C12ED9" w:rsidP="003E2086">
      <w:pPr>
        <w:rPr>
          <w:sz w:val="24"/>
          <w:highlight w:val="yellow"/>
        </w:rPr>
      </w:pPr>
      <w:r w:rsidRPr="00C12ED9">
        <w:rPr>
          <w:rFonts w:cs="Arial"/>
          <w:sz w:val="24"/>
          <w:szCs w:val="24"/>
        </w:rPr>
        <w:t xml:space="preserve">Health partners in English regions have been required to develop Sustainability and Transformation Plans (STPs) that address </w:t>
      </w:r>
      <w:r w:rsidRPr="00C12ED9">
        <w:rPr>
          <w:rFonts w:cs="Arial"/>
          <w:sz w:val="24"/>
          <w:szCs w:val="24"/>
        </w:rPr>
        <w:t>national priorities, including suicide</w:t>
      </w:r>
      <w:r w:rsidRPr="00C12ED9">
        <w:rPr>
          <w:rFonts w:cs="Arial"/>
          <w:sz w:val="24"/>
          <w:szCs w:val="24"/>
        </w:rPr>
        <w:fldChar w:fldCharType="begin"/>
      </w:r>
      <w:r w:rsidRPr="00C12ED9">
        <w:rPr>
          <w:rFonts w:cs="Arial"/>
          <w:sz w:val="24"/>
          <w:szCs w:val="24"/>
        </w:rPr>
        <w:instrText>ADDIN RW.CITE{{773 NHS England 1 February 2016}}</w:instrText>
      </w:r>
      <w:r w:rsidRPr="00C12ED9">
        <w:rPr>
          <w:rFonts w:cs="Arial"/>
          <w:sz w:val="24"/>
          <w:szCs w:val="24"/>
        </w:rPr>
        <w:fldChar w:fldCharType="separate"/>
      </w:r>
      <w:r w:rsidRPr="00C12ED9">
        <w:rPr>
          <w:rFonts w:eastAsia="Times New Roman" w:cs="Arial"/>
          <w:sz w:val="24"/>
          <w:szCs w:val="24"/>
        </w:rPr>
        <w:t>(</w:t>
      </w:r>
      <w:r>
        <w:rPr>
          <w:rFonts w:eastAsia="Times New Roman" w:cs="Arial"/>
          <w:sz w:val="24"/>
          <w:szCs w:val="24"/>
        </w:rPr>
        <w:t>9</w:t>
      </w:r>
      <w:r w:rsidRPr="00C12ED9">
        <w:rPr>
          <w:rFonts w:eastAsia="Times New Roman" w:cs="Arial"/>
          <w:sz w:val="24"/>
          <w:szCs w:val="24"/>
        </w:rPr>
        <w:t>)</w:t>
      </w:r>
      <w:r w:rsidRPr="00C12ED9">
        <w:rPr>
          <w:rFonts w:cs="Arial"/>
          <w:sz w:val="24"/>
          <w:szCs w:val="24"/>
        </w:rPr>
        <w:fldChar w:fldCharType="end"/>
      </w:r>
      <w:r w:rsidRPr="00C12ED9">
        <w:rPr>
          <w:rFonts w:cs="Arial"/>
          <w:sz w:val="24"/>
          <w:szCs w:val="24"/>
        </w:rPr>
        <w:t>.</w:t>
      </w:r>
      <w:r>
        <w:rPr>
          <w:rFonts w:cs="Arial"/>
          <w:sz w:val="24"/>
          <w:szCs w:val="24"/>
        </w:rPr>
        <w:t xml:space="preserve"> </w:t>
      </w:r>
      <w:r w:rsidRPr="00DD7859">
        <w:rPr>
          <w:rFonts w:cs="Arial"/>
          <w:sz w:val="24"/>
          <w:szCs w:val="24"/>
        </w:rPr>
        <w:t xml:space="preserve">Analysis within the </w:t>
      </w:r>
      <w:r w:rsidRPr="00DD7859">
        <w:rPr>
          <w:rFonts w:cs="Arial"/>
          <w:i/>
          <w:sz w:val="24"/>
          <w:szCs w:val="24"/>
        </w:rPr>
        <w:t>'National Confidential Inquiry into Suicide and Homicide by People with Mental Illness'</w:t>
      </w:r>
      <w:r w:rsidRPr="00DD7859">
        <w:rPr>
          <w:rFonts w:cs="Arial"/>
          <w:sz w:val="24"/>
          <w:szCs w:val="24"/>
        </w:rPr>
        <w:t xml:space="preserve"> demonstrated that of the 44 STP footprints across Engl</w:t>
      </w:r>
      <w:r w:rsidRPr="00DD7859">
        <w:rPr>
          <w:rFonts w:cs="Arial"/>
          <w:sz w:val="24"/>
          <w:szCs w:val="24"/>
        </w:rPr>
        <w:t>and, Lancashire and South Cumbria had the second highest suicide rate in 2012-2014 (12.6 per 100,000 population)</w:t>
      </w:r>
      <w:r w:rsidRPr="00DD7859">
        <w:rPr>
          <w:rFonts w:cs="Arial"/>
          <w:sz w:val="24"/>
          <w:szCs w:val="24"/>
        </w:rPr>
        <w:fldChar w:fldCharType="begin"/>
      </w:r>
      <w:r w:rsidRPr="00DD7859">
        <w:rPr>
          <w:rFonts w:cs="Arial"/>
          <w:sz w:val="24"/>
          <w:szCs w:val="24"/>
        </w:rPr>
        <w:instrText>ADDIN RW.CITE{{809 Healthcare Quality Improvement Partnership October 2016}}</w:instrText>
      </w:r>
      <w:r w:rsidRPr="00DD7859">
        <w:rPr>
          <w:rFonts w:cs="Arial"/>
          <w:sz w:val="24"/>
          <w:szCs w:val="24"/>
        </w:rPr>
        <w:fldChar w:fldCharType="separate"/>
      </w:r>
      <w:r w:rsidRPr="00DD7859">
        <w:rPr>
          <w:rFonts w:eastAsia="Times New Roman" w:cs="Arial"/>
          <w:sz w:val="24"/>
          <w:szCs w:val="24"/>
        </w:rPr>
        <w:t>(</w:t>
      </w:r>
      <w:r>
        <w:rPr>
          <w:rFonts w:eastAsia="Times New Roman" w:cs="Arial"/>
          <w:sz w:val="24"/>
          <w:szCs w:val="24"/>
        </w:rPr>
        <w:t>10</w:t>
      </w:r>
      <w:r w:rsidRPr="00DD7859">
        <w:rPr>
          <w:rFonts w:eastAsia="Times New Roman" w:cs="Arial"/>
          <w:sz w:val="24"/>
          <w:szCs w:val="24"/>
        </w:rPr>
        <w:t>)</w:t>
      </w:r>
      <w:r w:rsidRPr="00DD7859">
        <w:rPr>
          <w:rFonts w:cs="Arial"/>
          <w:sz w:val="24"/>
          <w:szCs w:val="24"/>
        </w:rPr>
        <w:fldChar w:fldCharType="end"/>
      </w:r>
      <w:r w:rsidRPr="00DD7859">
        <w:rPr>
          <w:rFonts w:cs="Arial"/>
          <w:sz w:val="24"/>
          <w:szCs w:val="24"/>
        </w:rPr>
        <w:t xml:space="preserve">. </w:t>
      </w:r>
      <w:r>
        <w:rPr>
          <w:rFonts w:cs="Arial"/>
          <w:sz w:val="24"/>
          <w:szCs w:val="24"/>
        </w:rPr>
        <w:t>An STP suicide prevention oversight group and an STP suicid</w:t>
      </w:r>
      <w:r>
        <w:rPr>
          <w:rFonts w:cs="Arial"/>
          <w:sz w:val="24"/>
          <w:szCs w:val="24"/>
        </w:rPr>
        <w:t>e prevention delivery group have been formed and Lancashire County Council is represented on both.</w:t>
      </w:r>
    </w:p>
    <w:p w:rsidR="00B828A1" w:rsidP="003E2086">
      <w:pPr>
        <w:rPr>
          <w:sz w:val="24"/>
        </w:rPr>
      </w:pPr>
      <w:r w:rsidRPr="00C12ED9">
        <w:rPr>
          <w:sz w:val="24"/>
          <w:highlight w:val="yellow"/>
        </w:rPr>
        <w:t>Insert detail of work underway with the STP suicide prevention group</w:t>
      </w:r>
    </w:p>
    <w:p w:rsidR="00C12ED9" w:rsidRPr="00C12ED9" w:rsidP="003E2086">
      <w:pPr>
        <w:rPr>
          <w:sz w:val="24"/>
        </w:rPr>
      </w:pPr>
    </w:p>
    <w:p w:rsidR="00B828A1" w:rsidRPr="00B828A1" w:rsidP="003E2086">
      <w:pPr>
        <w:rPr>
          <w:i/>
          <w:sz w:val="24"/>
        </w:rPr>
      </w:pPr>
      <w:r w:rsidRPr="00B828A1">
        <w:rPr>
          <w:i/>
          <w:sz w:val="24"/>
          <w:highlight w:val="yellow"/>
        </w:rPr>
        <w:t>Insert detail of other work projects/partnership working relevant to suicide prevention</w:t>
      </w:r>
    </w:p>
    <w:p w:rsidR="003E2086" w:rsidP="00C2208C">
      <w:pPr>
        <w:rPr>
          <w:rFonts w:cs="Arial"/>
          <w:b/>
          <w:sz w:val="24"/>
        </w:rPr>
      </w:pPr>
    </w:p>
    <w:p w:rsidR="00C2208C" w:rsidRPr="00834B9E" w:rsidP="00C2208C">
      <w:pPr>
        <w:rPr>
          <w:rFonts w:cs="Arial"/>
          <w:b/>
          <w:sz w:val="24"/>
          <w:u w:val="single"/>
        </w:rPr>
      </w:pPr>
      <w:r w:rsidRPr="00834B9E">
        <w:rPr>
          <w:rFonts w:cs="Arial"/>
          <w:b/>
          <w:sz w:val="24"/>
          <w:u w:val="single"/>
        </w:rPr>
        <w:t>Vision for the future</w:t>
      </w:r>
    </w:p>
    <w:p w:rsidR="00C2208C" w:rsidRPr="00834B9E" w:rsidP="00C2208C">
      <w:pPr>
        <w:pStyle w:val="Heading2"/>
        <w:rPr>
          <w:rFonts w:asciiTheme="minorHAnsi" w:hAnsiTheme="minorHAnsi"/>
          <w:sz w:val="24"/>
          <w:szCs w:val="24"/>
        </w:rPr>
      </w:pPr>
      <w:bookmarkStart w:id="8" w:name="_Toc483899624"/>
      <w:r w:rsidRPr="00834B9E">
        <w:rPr>
          <w:rFonts w:asciiTheme="minorHAnsi" w:hAnsiTheme="minorHAnsi"/>
          <w:sz w:val="24"/>
          <w:szCs w:val="24"/>
        </w:rPr>
        <w:t>Policy context</w:t>
      </w:r>
      <w:bookmarkEnd w:id="8"/>
    </w:p>
    <w:p w:rsidR="00C12ED9" w:rsidP="00C2208C">
      <w:pPr>
        <w:rPr>
          <w:rFonts w:cs="Arial"/>
          <w:sz w:val="24"/>
          <w:szCs w:val="24"/>
        </w:rPr>
      </w:pPr>
      <w:r w:rsidRPr="00C12ED9">
        <w:rPr>
          <w:rFonts w:cs="Arial"/>
          <w:sz w:val="24"/>
          <w:szCs w:val="24"/>
        </w:rPr>
        <w:t>Suicide prevention is currently a national priority</w:t>
      </w:r>
      <w:r>
        <w:rPr>
          <w:rFonts w:cs="Arial"/>
          <w:sz w:val="24"/>
          <w:szCs w:val="24"/>
        </w:rPr>
        <w:t xml:space="preserve"> and there are several policy documents, both national and local that set the vision for suicide prevention in England:</w:t>
      </w:r>
    </w:p>
    <w:p w:rsidR="00834B9E" w:rsidRPr="00DD7859" w:rsidP="00BF08E7">
      <w:pPr>
        <w:ind w:left="720"/>
        <w:rPr>
          <w:rFonts w:cs="Arial"/>
          <w:sz w:val="24"/>
          <w:szCs w:val="24"/>
        </w:rPr>
      </w:pPr>
      <w:r>
        <w:rPr>
          <w:rFonts w:cs="Arial"/>
          <w:b/>
          <w:i/>
          <w:sz w:val="24"/>
          <w:szCs w:val="24"/>
        </w:rPr>
        <w:t>"The Five Y</w:t>
      </w:r>
      <w:r w:rsidRPr="00DD7859">
        <w:rPr>
          <w:rFonts w:cs="Arial"/>
          <w:b/>
          <w:i/>
          <w:sz w:val="24"/>
          <w:szCs w:val="24"/>
        </w:rPr>
        <w:t>ear Forward View for Mental Health"</w:t>
      </w:r>
    </w:p>
    <w:p w:rsidR="00C12ED9" w:rsidRPr="00DD7859" w:rsidP="00BF08E7">
      <w:pPr>
        <w:ind w:left="720"/>
        <w:rPr>
          <w:rFonts w:cs="Arial"/>
          <w:sz w:val="24"/>
          <w:szCs w:val="24"/>
        </w:rPr>
      </w:pPr>
      <w:r w:rsidRPr="00DD7859">
        <w:rPr>
          <w:rFonts w:cs="Arial"/>
          <w:sz w:val="24"/>
          <w:szCs w:val="24"/>
        </w:rPr>
        <w:t>The '</w:t>
      </w:r>
      <w:r w:rsidRPr="00DD7859">
        <w:rPr>
          <w:rFonts w:cs="Arial"/>
          <w:i/>
          <w:sz w:val="24"/>
          <w:szCs w:val="24"/>
        </w:rPr>
        <w:t>Five Year Forward View for Mental Health'</w:t>
      </w:r>
      <w:r w:rsidRPr="00DD7859">
        <w:rPr>
          <w:rFonts w:cs="Arial"/>
          <w:sz w:val="24"/>
          <w:szCs w:val="24"/>
        </w:rPr>
        <w:t xml:space="preserve"> highlighted suicide prevention as a key area for improvement, with a national target for the number of people taking their own life in each local area to have reduced by 10% in 2020/21 compared to 2016/17 lev</w:t>
      </w:r>
      <w:r w:rsidRPr="00DD7859">
        <w:rPr>
          <w:rFonts w:cs="Arial"/>
          <w:sz w:val="24"/>
          <w:szCs w:val="24"/>
        </w:rPr>
        <w:t>els</w:t>
      </w:r>
      <w:r w:rsidRPr="00DD7859">
        <w:rPr>
          <w:rFonts w:cs="Arial"/>
          <w:sz w:val="24"/>
          <w:szCs w:val="24"/>
        </w:rPr>
        <w:fldChar w:fldCharType="begin"/>
      </w:r>
      <w:r w:rsidRPr="00DD7859">
        <w:rPr>
          <w:rFonts w:cs="Arial"/>
          <w:sz w:val="24"/>
          <w:szCs w:val="24"/>
        </w:rPr>
        <w:instrText>ADDIN RW.CITE{{773 NHS England 1 February 2016}}</w:instrText>
      </w:r>
      <w:r w:rsidRPr="00DD7859">
        <w:rPr>
          <w:rFonts w:cs="Arial"/>
          <w:sz w:val="24"/>
          <w:szCs w:val="24"/>
        </w:rPr>
        <w:fldChar w:fldCharType="separate"/>
      </w:r>
      <w:r>
        <w:rPr>
          <w:rFonts w:eastAsia="Times New Roman" w:cs="Arial"/>
          <w:sz w:val="24"/>
          <w:szCs w:val="24"/>
        </w:rPr>
        <w:t>(9</w:t>
      </w:r>
      <w:r w:rsidRPr="00DD7859">
        <w:rPr>
          <w:rFonts w:eastAsia="Times New Roman" w:cs="Arial"/>
          <w:sz w:val="24"/>
          <w:szCs w:val="24"/>
        </w:rPr>
        <w:t>)</w:t>
      </w:r>
      <w:r w:rsidRPr="00DD7859">
        <w:rPr>
          <w:rFonts w:cs="Arial"/>
          <w:sz w:val="24"/>
          <w:szCs w:val="24"/>
        </w:rPr>
        <w:fldChar w:fldCharType="end"/>
      </w:r>
      <w:r w:rsidRPr="00DD7859">
        <w:rPr>
          <w:rFonts w:cs="Arial"/>
          <w:sz w:val="24"/>
          <w:szCs w:val="24"/>
        </w:rPr>
        <w:t>.</w:t>
      </w:r>
    </w:p>
    <w:p w:rsidR="00834B9E" w:rsidRPr="00DD7859" w:rsidP="00BF08E7">
      <w:pPr>
        <w:ind w:left="720"/>
        <w:rPr>
          <w:rFonts w:cs="Arial"/>
          <w:b/>
          <w:sz w:val="24"/>
          <w:szCs w:val="24"/>
        </w:rPr>
      </w:pPr>
      <w:r w:rsidRPr="00DD7859">
        <w:rPr>
          <w:rFonts w:cs="Arial"/>
          <w:b/>
          <w:i/>
          <w:sz w:val="24"/>
          <w:szCs w:val="24"/>
        </w:rPr>
        <w:t xml:space="preserve">"Preventing suicide in England: a cross-governmental outcomes strategy to save lives" </w:t>
      </w:r>
    </w:p>
    <w:p w:rsidR="00C2208C" w:rsidRPr="00DD7859" w:rsidP="00BF08E7">
      <w:pPr>
        <w:ind w:left="720"/>
        <w:rPr>
          <w:rFonts w:cs="Arial"/>
          <w:sz w:val="24"/>
          <w:szCs w:val="24"/>
        </w:rPr>
      </w:pPr>
      <w:r w:rsidRPr="00DD7859">
        <w:rPr>
          <w:rFonts w:cs="Arial"/>
          <w:sz w:val="24"/>
          <w:szCs w:val="24"/>
        </w:rPr>
        <w:t xml:space="preserve">The current key national strategy document within suicide prevention is </w:t>
      </w:r>
      <w:r w:rsidRPr="00DD7859">
        <w:rPr>
          <w:rFonts w:cs="Arial"/>
          <w:i/>
          <w:sz w:val="24"/>
          <w:szCs w:val="24"/>
        </w:rPr>
        <w:t xml:space="preserve">'Preventing suicide in England: a </w:t>
      </w:r>
      <w:r w:rsidRPr="00DD7859">
        <w:rPr>
          <w:rFonts w:cs="Arial"/>
          <w:i/>
          <w:sz w:val="24"/>
          <w:szCs w:val="24"/>
        </w:rPr>
        <w:t>cross-governmental outcomes strategy to save lives'</w:t>
      </w:r>
      <w:r w:rsidRPr="00DD7859">
        <w:rPr>
          <w:rFonts w:cs="Arial"/>
          <w:i/>
          <w:sz w:val="24"/>
          <w:szCs w:val="24"/>
        </w:rPr>
        <w:fldChar w:fldCharType="begin"/>
      </w:r>
      <w:r w:rsidRPr="00DD7859">
        <w:rPr>
          <w:rFonts w:cs="Arial"/>
          <w:i/>
          <w:sz w:val="24"/>
          <w:szCs w:val="24"/>
        </w:rPr>
        <w:instrText>ADDIN RW.CITE{{772 HM Government 10 September 2012}}</w:instrText>
      </w:r>
      <w:r w:rsidRPr="00DD7859">
        <w:rPr>
          <w:rFonts w:cs="Arial"/>
          <w:i/>
          <w:sz w:val="24"/>
          <w:szCs w:val="24"/>
        </w:rPr>
        <w:fldChar w:fldCharType="separate"/>
      </w:r>
      <w:r w:rsidRPr="00DD7859">
        <w:rPr>
          <w:rFonts w:eastAsia="Times New Roman" w:cs="Arial"/>
          <w:sz w:val="24"/>
          <w:szCs w:val="24"/>
        </w:rPr>
        <w:t>(2)</w:t>
      </w:r>
      <w:r w:rsidRPr="00DD7859">
        <w:rPr>
          <w:rFonts w:cs="Arial"/>
          <w:i/>
          <w:sz w:val="24"/>
          <w:szCs w:val="24"/>
        </w:rPr>
        <w:fldChar w:fldCharType="end"/>
      </w:r>
      <w:r w:rsidRPr="00DD7859">
        <w:rPr>
          <w:rFonts w:cs="Arial"/>
          <w:sz w:val="24"/>
          <w:szCs w:val="24"/>
        </w:rPr>
        <w:t xml:space="preserve">. This </w:t>
      </w:r>
      <w:r w:rsidRPr="00DD7859">
        <w:rPr>
          <w:rFonts w:cs="Arial"/>
          <w:sz w:val="24"/>
          <w:szCs w:val="24"/>
        </w:rPr>
        <w:t>sets out the government's strategy to preven</w:t>
      </w:r>
      <w:r>
        <w:rPr>
          <w:rFonts w:cs="Arial"/>
          <w:sz w:val="24"/>
          <w:szCs w:val="24"/>
        </w:rPr>
        <w:t>t suicide in England and focuses</w:t>
      </w:r>
      <w:r w:rsidRPr="00DD7859">
        <w:rPr>
          <w:rFonts w:cs="Arial"/>
          <w:sz w:val="24"/>
          <w:szCs w:val="24"/>
        </w:rPr>
        <w:t xml:space="preserve"> on six key areas</w:t>
      </w:r>
      <w:r w:rsidRPr="00DD7859">
        <w:rPr>
          <w:rFonts w:cs="Arial"/>
          <w:sz w:val="24"/>
          <w:szCs w:val="24"/>
        </w:rPr>
        <w:fldChar w:fldCharType="begin"/>
      </w:r>
      <w:r w:rsidRPr="00DD7859">
        <w:rPr>
          <w:rFonts w:cs="Arial"/>
          <w:sz w:val="24"/>
          <w:szCs w:val="24"/>
        </w:rPr>
        <w:instrText>ADDIN RW.CITE{{772 HM Government 10 September 2</w:instrText>
      </w:r>
      <w:r w:rsidRPr="00DD7859">
        <w:rPr>
          <w:rFonts w:cs="Arial"/>
          <w:sz w:val="24"/>
          <w:szCs w:val="24"/>
        </w:rPr>
        <w:instrText>012}}</w:instrText>
      </w:r>
      <w:r w:rsidRPr="00DD7859">
        <w:rPr>
          <w:rFonts w:cs="Arial"/>
          <w:sz w:val="24"/>
          <w:szCs w:val="24"/>
        </w:rPr>
        <w:fldChar w:fldCharType="separate"/>
      </w:r>
      <w:r w:rsidRPr="00DD7859">
        <w:rPr>
          <w:rFonts w:eastAsia="Times New Roman" w:cs="Arial"/>
          <w:sz w:val="24"/>
          <w:szCs w:val="24"/>
        </w:rPr>
        <w:t>(2)</w:t>
      </w:r>
      <w:r w:rsidRPr="00DD7859">
        <w:rPr>
          <w:rFonts w:cs="Arial"/>
          <w:sz w:val="24"/>
          <w:szCs w:val="24"/>
        </w:rPr>
        <w:fldChar w:fldCharType="end"/>
      </w:r>
      <w:r w:rsidRPr="00DD7859">
        <w:rPr>
          <w:rFonts w:cs="Arial"/>
          <w:sz w:val="24"/>
          <w:szCs w:val="24"/>
        </w:rPr>
        <w:t>:</w:t>
      </w:r>
    </w:p>
    <w:p w:rsidR="00042B1D" w:rsidRPr="00DD7859" w:rsidP="00BF08E7">
      <w:pPr>
        <w:pStyle w:val="ListParagraph"/>
        <w:numPr>
          <w:ilvl w:val="0"/>
          <w:numId w:val="2"/>
        </w:numPr>
        <w:ind w:left="1080"/>
        <w:rPr>
          <w:rFonts w:asciiTheme="minorHAnsi" w:hAnsiTheme="minorHAnsi" w:cs="Arial"/>
        </w:rPr>
      </w:pPr>
      <w:r w:rsidRPr="00DD7859">
        <w:rPr>
          <w:rFonts w:asciiTheme="minorHAnsi" w:hAnsiTheme="minorHAnsi" w:cs="Arial"/>
        </w:rPr>
        <w:t xml:space="preserve">Reduce </w:t>
      </w:r>
      <w:r>
        <w:rPr>
          <w:rFonts w:asciiTheme="minorHAnsi" w:hAnsiTheme="minorHAnsi" w:cs="Arial"/>
        </w:rPr>
        <w:t>the risk of suicide in key high-</w:t>
      </w:r>
      <w:r w:rsidRPr="00DD7859">
        <w:rPr>
          <w:rFonts w:asciiTheme="minorHAnsi" w:hAnsiTheme="minorHAnsi" w:cs="Arial"/>
        </w:rPr>
        <w:t>risk groups;</w:t>
      </w:r>
    </w:p>
    <w:p w:rsidR="00042B1D" w:rsidRPr="00DD7859" w:rsidP="00BF08E7">
      <w:pPr>
        <w:pStyle w:val="ListParagraph"/>
        <w:numPr>
          <w:ilvl w:val="0"/>
          <w:numId w:val="2"/>
        </w:numPr>
        <w:ind w:left="1080"/>
        <w:rPr>
          <w:rFonts w:asciiTheme="minorHAnsi" w:hAnsiTheme="minorHAnsi" w:cs="Arial"/>
        </w:rPr>
      </w:pPr>
      <w:r w:rsidRPr="00DD7859">
        <w:rPr>
          <w:rFonts w:asciiTheme="minorHAnsi" w:hAnsiTheme="minorHAnsi" w:cs="Arial"/>
        </w:rPr>
        <w:t xml:space="preserve">Tailor approaches to improve mental health in specific groups; </w:t>
      </w:r>
    </w:p>
    <w:p w:rsidR="00042B1D" w:rsidRPr="00DD7859" w:rsidP="00BF08E7">
      <w:pPr>
        <w:pStyle w:val="ListParagraph"/>
        <w:numPr>
          <w:ilvl w:val="0"/>
          <w:numId w:val="2"/>
        </w:numPr>
        <w:ind w:left="1080"/>
        <w:rPr>
          <w:rFonts w:asciiTheme="minorHAnsi" w:hAnsiTheme="minorHAnsi" w:cs="Arial"/>
        </w:rPr>
      </w:pPr>
      <w:r w:rsidRPr="00DD7859">
        <w:rPr>
          <w:rFonts w:asciiTheme="minorHAnsi" w:hAnsiTheme="minorHAnsi" w:cs="Arial"/>
        </w:rPr>
        <w:t>Reduce access to the means of suicide;</w:t>
      </w:r>
    </w:p>
    <w:p w:rsidR="00042B1D" w:rsidRPr="00DD7859" w:rsidP="00BF08E7">
      <w:pPr>
        <w:pStyle w:val="ListParagraph"/>
        <w:numPr>
          <w:ilvl w:val="0"/>
          <w:numId w:val="2"/>
        </w:numPr>
        <w:ind w:left="1080"/>
        <w:rPr>
          <w:rFonts w:asciiTheme="minorHAnsi" w:hAnsiTheme="minorHAnsi" w:cs="Arial"/>
        </w:rPr>
      </w:pPr>
      <w:r w:rsidRPr="00DD7859">
        <w:rPr>
          <w:rFonts w:asciiTheme="minorHAnsi" w:hAnsiTheme="minorHAnsi" w:cs="Arial"/>
        </w:rPr>
        <w:t>Provide better information and support to those bereaved or affected by suicide;</w:t>
      </w:r>
    </w:p>
    <w:p w:rsidR="00042B1D" w:rsidRPr="00DD7859" w:rsidP="00BF08E7">
      <w:pPr>
        <w:pStyle w:val="ListParagraph"/>
        <w:numPr>
          <w:ilvl w:val="0"/>
          <w:numId w:val="2"/>
        </w:numPr>
        <w:ind w:left="1080"/>
        <w:rPr>
          <w:rFonts w:asciiTheme="minorHAnsi" w:hAnsiTheme="minorHAnsi" w:cs="Arial"/>
        </w:rPr>
      </w:pPr>
      <w:r w:rsidRPr="00DD7859">
        <w:rPr>
          <w:rFonts w:asciiTheme="minorHAnsi" w:hAnsiTheme="minorHAnsi" w:cs="Arial"/>
        </w:rPr>
        <w:t>Support</w:t>
      </w:r>
      <w:r w:rsidRPr="00DD7859">
        <w:rPr>
          <w:rFonts w:asciiTheme="minorHAnsi" w:hAnsiTheme="minorHAnsi" w:cs="Arial"/>
        </w:rPr>
        <w:t xml:space="preserve"> the media in delivering sensitive approaches to suicide and suicidal behaviour and</w:t>
      </w:r>
    </w:p>
    <w:p w:rsidR="00042B1D" w:rsidRPr="00DD7859" w:rsidP="00BF08E7">
      <w:pPr>
        <w:pStyle w:val="ListParagraph"/>
        <w:numPr>
          <w:ilvl w:val="0"/>
          <w:numId w:val="2"/>
        </w:numPr>
        <w:ind w:left="1080"/>
        <w:rPr>
          <w:rFonts w:asciiTheme="minorHAnsi" w:hAnsiTheme="minorHAnsi" w:cs="Arial"/>
        </w:rPr>
      </w:pPr>
      <w:r w:rsidRPr="00DD7859">
        <w:rPr>
          <w:rFonts w:asciiTheme="minorHAnsi" w:hAnsiTheme="minorHAnsi" w:cs="Arial"/>
        </w:rPr>
        <w:t>Support research, data collection and monitoring.</w:t>
      </w:r>
    </w:p>
    <w:p w:rsidR="00042B1D" w:rsidRPr="00DD7859" w:rsidP="00BF08E7">
      <w:pPr>
        <w:pStyle w:val="ListParagraph"/>
        <w:rPr>
          <w:rFonts w:asciiTheme="minorHAnsi" w:hAnsiTheme="minorHAnsi" w:cs="Arial"/>
        </w:rPr>
      </w:pPr>
    </w:p>
    <w:p w:rsidR="00C2208C" w:rsidRPr="00DD7859" w:rsidP="00BF08E7">
      <w:pPr>
        <w:ind w:left="720"/>
        <w:rPr>
          <w:rFonts w:cs="Arial"/>
          <w:sz w:val="24"/>
          <w:szCs w:val="24"/>
        </w:rPr>
      </w:pPr>
      <w:r w:rsidRPr="00DD7859">
        <w:rPr>
          <w:rFonts w:cs="Arial"/>
          <w:sz w:val="24"/>
          <w:szCs w:val="24"/>
        </w:rPr>
        <w:t>There have been regular reports on national progress against this strategy, with the most recent published in January 201</w:t>
      </w:r>
      <w:r w:rsidRPr="00DD7859">
        <w:rPr>
          <w:rFonts w:cs="Arial"/>
          <w:sz w:val="24"/>
          <w:szCs w:val="24"/>
        </w:rPr>
        <w:t>7</w:t>
      </w:r>
      <w:r w:rsidRPr="00DD7859">
        <w:rPr>
          <w:rFonts w:cs="Arial"/>
          <w:sz w:val="24"/>
          <w:szCs w:val="24"/>
        </w:rPr>
        <w:fldChar w:fldCharType="begin"/>
      </w:r>
      <w:r w:rsidRPr="00DD7859">
        <w:rPr>
          <w:rFonts w:cs="Arial"/>
          <w:sz w:val="24"/>
          <w:szCs w:val="24"/>
        </w:rPr>
        <w:instrText>ADDIN RW.CITE{{819 HM Government 9 January 2017}}</w:instrText>
      </w:r>
      <w:r w:rsidRPr="00DD7859">
        <w:rPr>
          <w:rFonts w:cs="Arial"/>
          <w:sz w:val="24"/>
          <w:szCs w:val="24"/>
        </w:rPr>
        <w:fldChar w:fldCharType="separate"/>
      </w:r>
      <w:r>
        <w:rPr>
          <w:rFonts w:eastAsia="Times New Roman" w:cs="Arial"/>
          <w:sz w:val="24"/>
          <w:szCs w:val="24"/>
        </w:rPr>
        <w:t>(11</w:t>
      </w:r>
      <w:r w:rsidRPr="00DD7859">
        <w:rPr>
          <w:rFonts w:eastAsia="Times New Roman" w:cs="Arial"/>
          <w:sz w:val="24"/>
          <w:szCs w:val="24"/>
        </w:rPr>
        <w:t>)</w:t>
      </w:r>
      <w:r w:rsidRPr="00DD7859">
        <w:rPr>
          <w:rFonts w:cs="Arial"/>
          <w:sz w:val="24"/>
          <w:szCs w:val="24"/>
        </w:rPr>
        <w:fldChar w:fldCharType="end"/>
      </w:r>
      <w:r w:rsidRPr="00DD7859">
        <w:rPr>
          <w:rFonts w:cs="Arial"/>
          <w:sz w:val="24"/>
          <w:szCs w:val="24"/>
        </w:rPr>
        <w:t>. Here, self-harm was added to the strategy as a separate key area for focus, in recognition of the fact that self-harm is the biggest indicator of suicide risk</w:t>
      </w:r>
      <w:r w:rsidRPr="00DD7859">
        <w:rPr>
          <w:rFonts w:cs="Arial"/>
          <w:sz w:val="24"/>
          <w:szCs w:val="24"/>
        </w:rPr>
        <w:fldChar w:fldCharType="begin"/>
      </w:r>
      <w:r w:rsidRPr="00DD7859">
        <w:rPr>
          <w:rFonts w:cs="Arial"/>
          <w:sz w:val="24"/>
          <w:szCs w:val="24"/>
        </w:rPr>
        <w:instrText>ADDIN RW.CITE{{819 HM Government 9 Janu</w:instrText>
      </w:r>
      <w:r w:rsidRPr="00DD7859">
        <w:rPr>
          <w:rFonts w:cs="Arial"/>
          <w:sz w:val="24"/>
          <w:szCs w:val="24"/>
        </w:rPr>
        <w:instrText>ary 2017}}</w:instrText>
      </w:r>
      <w:r w:rsidRPr="00DD7859">
        <w:rPr>
          <w:rFonts w:cs="Arial"/>
          <w:sz w:val="24"/>
          <w:szCs w:val="24"/>
        </w:rPr>
        <w:fldChar w:fldCharType="separate"/>
      </w:r>
      <w:r>
        <w:rPr>
          <w:rFonts w:eastAsia="Times New Roman" w:cs="Arial"/>
          <w:sz w:val="24"/>
          <w:szCs w:val="24"/>
        </w:rPr>
        <w:t>(11</w:t>
      </w:r>
      <w:r w:rsidRPr="00DD7859">
        <w:rPr>
          <w:rFonts w:eastAsia="Times New Roman" w:cs="Arial"/>
          <w:sz w:val="24"/>
          <w:szCs w:val="24"/>
        </w:rPr>
        <w:t>)</w:t>
      </w:r>
      <w:r w:rsidRPr="00DD7859">
        <w:rPr>
          <w:rFonts w:cs="Arial"/>
          <w:sz w:val="24"/>
          <w:szCs w:val="24"/>
        </w:rPr>
        <w:fldChar w:fldCharType="end"/>
      </w:r>
      <w:r w:rsidRPr="00DD7859">
        <w:rPr>
          <w:rFonts w:cs="Arial"/>
          <w:sz w:val="24"/>
          <w:szCs w:val="24"/>
        </w:rPr>
        <w:t>. Indeed, half of people who complete suicide have a history of self-harm</w:t>
      </w:r>
      <w:r w:rsidRPr="00DD7859">
        <w:rPr>
          <w:rFonts w:cs="Arial"/>
          <w:sz w:val="24"/>
          <w:szCs w:val="24"/>
        </w:rPr>
        <w:fldChar w:fldCharType="begin"/>
      </w:r>
      <w:r w:rsidRPr="00DD7859">
        <w:rPr>
          <w:rFonts w:cs="Arial"/>
          <w:sz w:val="24"/>
          <w:szCs w:val="24"/>
        </w:rPr>
        <w:instrText>ADDIN RW.CITE{{819 HM Government 9 January 2017}}</w:instrText>
      </w:r>
      <w:r w:rsidRPr="00DD7859">
        <w:rPr>
          <w:rFonts w:cs="Arial"/>
          <w:sz w:val="24"/>
          <w:szCs w:val="24"/>
        </w:rPr>
        <w:fldChar w:fldCharType="separate"/>
      </w:r>
      <w:r>
        <w:rPr>
          <w:rFonts w:eastAsia="Times New Roman" w:cs="Arial"/>
          <w:sz w:val="24"/>
          <w:szCs w:val="24"/>
        </w:rPr>
        <w:t>(11</w:t>
      </w:r>
      <w:r w:rsidRPr="00DD7859">
        <w:rPr>
          <w:rFonts w:eastAsia="Times New Roman" w:cs="Arial"/>
          <w:sz w:val="24"/>
          <w:szCs w:val="24"/>
        </w:rPr>
        <w:t>)</w:t>
      </w:r>
      <w:r w:rsidRPr="00DD7859">
        <w:rPr>
          <w:rFonts w:cs="Arial"/>
          <w:sz w:val="24"/>
          <w:szCs w:val="24"/>
        </w:rPr>
        <w:fldChar w:fldCharType="end"/>
      </w:r>
      <w:r w:rsidRPr="00DD7859">
        <w:rPr>
          <w:rFonts w:cs="Arial"/>
          <w:sz w:val="24"/>
          <w:szCs w:val="24"/>
        </w:rPr>
        <w:t>.</w:t>
      </w:r>
    </w:p>
    <w:p w:rsidR="00834B9E" w:rsidRPr="00DD7859" w:rsidP="00BF08E7">
      <w:pPr>
        <w:ind w:left="720"/>
        <w:rPr>
          <w:rFonts w:cs="Arial"/>
          <w:b/>
          <w:sz w:val="24"/>
          <w:szCs w:val="24"/>
        </w:rPr>
      </w:pPr>
      <w:r w:rsidRPr="00DD7859">
        <w:rPr>
          <w:rFonts w:cs="Arial"/>
          <w:b/>
          <w:i/>
          <w:sz w:val="24"/>
          <w:szCs w:val="24"/>
        </w:rPr>
        <w:t xml:space="preserve">"No health without mental health" </w:t>
      </w:r>
    </w:p>
    <w:p w:rsidR="00C2208C" w:rsidP="00BF08E7">
      <w:pPr>
        <w:ind w:left="720"/>
        <w:rPr>
          <w:rFonts w:cs="Arial"/>
          <w:sz w:val="24"/>
          <w:szCs w:val="24"/>
        </w:rPr>
      </w:pPr>
      <w:r w:rsidRPr="00DD7859">
        <w:rPr>
          <w:rFonts w:cs="Arial"/>
          <w:sz w:val="24"/>
          <w:szCs w:val="24"/>
        </w:rPr>
        <w:t>This national</w:t>
      </w:r>
      <w:r>
        <w:rPr>
          <w:rFonts w:cs="Arial"/>
          <w:sz w:val="24"/>
          <w:szCs w:val="24"/>
        </w:rPr>
        <w:t xml:space="preserve"> suicide prevention</w:t>
      </w:r>
      <w:r w:rsidRPr="00DD7859">
        <w:rPr>
          <w:rFonts w:cs="Arial"/>
          <w:sz w:val="24"/>
          <w:szCs w:val="24"/>
        </w:rPr>
        <w:t xml:space="preserve"> strategy runs alongside the government's wider mental health strategy </w:t>
      </w:r>
      <w:r w:rsidRPr="00DD7859">
        <w:rPr>
          <w:rFonts w:cs="Arial"/>
          <w:i/>
          <w:sz w:val="24"/>
          <w:szCs w:val="24"/>
        </w:rPr>
        <w:t>'No health without mental health'</w:t>
      </w:r>
      <w:r w:rsidRPr="00DD7859">
        <w:rPr>
          <w:rFonts w:cs="Arial"/>
          <w:i/>
          <w:sz w:val="24"/>
          <w:szCs w:val="24"/>
        </w:rPr>
        <w:fldChar w:fldCharType="begin"/>
      </w:r>
      <w:r w:rsidRPr="00DD7859">
        <w:rPr>
          <w:rFonts w:cs="Arial"/>
          <w:i/>
          <w:sz w:val="24"/>
          <w:szCs w:val="24"/>
        </w:rPr>
        <w:instrText>ADDIN RW.CITE{{183 HM Government February 2011}}</w:instrText>
      </w:r>
      <w:r w:rsidRPr="00DD7859">
        <w:rPr>
          <w:rFonts w:cs="Arial"/>
          <w:i/>
          <w:sz w:val="24"/>
          <w:szCs w:val="24"/>
        </w:rPr>
        <w:fldChar w:fldCharType="separate"/>
      </w:r>
      <w:r>
        <w:rPr>
          <w:rFonts w:eastAsia="Times New Roman" w:cs="Arial"/>
          <w:sz w:val="24"/>
          <w:szCs w:val="24"/>
        </w:rPr>
        <w:t>(12</w:t>
      </w:r>
      <w:r w:rsidRPr="00DD7859">
        <w:rPr>
          <w:rFonts w:eastAsia="Times New Roman" w:cs="Arial"/>
          <w:sz w:val="24"/>
          <w:szCs w:val="24"/>
        </w:rPr>
        <w:t>)</w:t>
      </w:r>
      <w:r w:rsidRPr="00DD7859">
        <w:rPr>
          <w:rFonts w:cs="Arial"/>
          <w:i/>
          <w:sz w:val="24"/>
          <w:szCs w:val="24"/>
        </w:rPr>
        <w:fldChar w:fldCharType="end"/>
      </w:r>
      <w:r w:rsidRPr="00DD7859">
        <w:rPr>
          <w:rFonts w:cs="Arial"/>
          <w:sz w:val="24"/>
          <w:szCs w:val="24"/>
        </w:rPr>
        <w:t xml:space="preserve">. This recognised that, although the quality of mental health care has improved in recent years, </w:t>
      </w:r>
      <w:r w:rsidRPr="00DD7859">
        <w:rPr>
          <w:rFonts w:cs="Arial"/>
          <w:sz w:val="24"/>
          <w:szCs w:val="24"/>
        </w:rPr>
        <w:t>too much emphasis has been placed on structures and processes rather than outcomes</w:t>
      </w:r>
      <w:r w:rsidRPr="00DD7859">
        <w:rPr>
          <w:rFonts w:cs="Arial"/>
          <w:sz w:val="24"/>
          <w:szCs w:val="24"/>
        </w:rPr>
        <w:fldChar w:fldCharType="begin"/>
      </w:r>
      <w:r w:rsidRPr="00DD7859">
        <w:rPr>
          <w:rFonts w:cs="Arial"/>
          <w:sz w:val="24"/>
          <w:szCs w:val="24"/>
        </w:rPr>
        <w:instrText>ADDIN RW.CITE{{183 HM Government February 2011}}</w:instrText>
      </w:r>
      <w:r w:rsidRPr="00DD7859">
        <w:rPr>
          <w:rFonts w:cs="Arial"/>
          <w:sz w:val="24"/>
          <w:szCs w:val="24"/>
        </w:rPr>
        <w:fldChar w:fldCharType="separate"/>
      </w:r>
      <w:r>
        <w:rPr>
          <w:rFonts w:eastAsia="Times New Roman" w:cs="Arial"/>
          <w:sz w:val="24"/>
          <w:szCs w:val="24"/>
        </w:rPr>
        <w:t>(12</w:t>
      </w:r>
      <w:r w:rsidRPr="00DD7859">
        <w:rPr>
          <w:rFonts w:eastAsia="Times New Roman" w:cs="Arial"/>
          <w:sz w:val="24"/>
          <w:szCs w:val="24"/>
        </w:rPr>
        <w:t>)</w:t>
      </w:r>
      <w:r w:rsidRPr="00DD7859">
        <w:rPr>
          <w:rFonts w:cs="Arial"/>
          <w:sz w:val="24"/>
          <w:szCs w:val="24"/>
        </w:rPr>
        <w:fldChar w:fldCharType="end"/>
      </w:r>
      <w:r w:rsidRPr="00DD7859">
        <w:rPr>
          <w:rFonts w:cs="Arial"/>
          <w:sz w:val="24"/>
          <w:szCs w:val="24"/>
        </w:rPr>
        <w:t>. The strategy set shared national objectives to improve services and to transform public attitudes towards mental heal</w:t>
      </w:r>
      <w:r w:rsidRPr="00DD7859">
        <w:rPr>
          <w:rFonts w:cs="Arial"/>
          <w:sz w:val="24"/>
          <w:szCs w:val="24"/>
        </w:rPr>
        <w:t>th</w:t>
      </w:r>
      <w:r w:rsidRPr="00DD7859">
        <w:rPr>
          <w:rFonts w:cs="Arial"/>
          <w:sz w:val="24"/>
          <w:szCs w:val="24"/>
        </w:rPr>
        <w:fldChar w:fldCharType="begin"/>
      </w:r>
      <w:r w:rsidRPr="00DD7859">
        <w:rPr>
          <w:rFonts w:cs="Arial"/>
          <w:sz w:val="24"/>
          <w:szCs w:val="24"/>
        </w:rPr>
        <w:instrText>ADDIN RW.CITE{{183 HM Government February 2011}}</w:instrText>
      </w:r>
      <w:r w:rsidRPr="00DD7859">
        <w:rPr>
          <w:rFonts w:cs="Arial"/>
          <w:sz w:val="24"/>
          <w:szCs w:val="24"/>
        </w:rPr>
        <w:fldChar w:fldCharType="separate"/>
      </w:r>
      <w:r>
        <w:rPr>
          <w:rFonts w:eastAsia="Times New Roman" w:cs="Arial"/>
          <w:sz w:val="24"/>
          <w:szCs w:val="24"/>
        </w:rPr>
        <w:t>(12</w:t>
      </w:r>
      <w:r w:rsidRPr="00DD7859">
        <w:rPr>
          <w:rFonts w:eastAsia="Times New Roman" w:cs="Arial"/>
          <w:sz w:val="24"/>
          <w:szCs w:val="24"/>
        </w:rPr>
        <w:t>)</w:t>
      </w:r>
      <w:r w:rsidRPr="00DD7859">
        <w:rPr>
          <w:rFonts w:cs="Arial"/>
          <w:sz w:val="24"/>
          <w:szCs w:val="24"/>
        </w:rPr>
        <w:fldChar w:fldCharType="end"/>
      </w:r>
      <w:r w:rsidRPr="00DD7859">
        <w:rPr>
          <w:rFonts w:cs="Arial"/>
          <w:sz w:val="24"/>
          <w:szCs w:val="24"/>
        </w:rPr>
        <w:t>. A key measure within the strategy was that fewer people should suffer avoidable harm, with suicide rates placed within the Public Health Outcomes Framework</w:t>
      </w:r>
      <w:r w:rsidRPr="00DD7859">
        <w:rPr>
          <w:rFonts w:cs="Arial"/>
          <w:sz w:val="24"/>
          <w:szCs w:val="24"/>
        </w:rPr>
        <w:fldChar w:fldCharType="begin"/>
      </w:r>
      <w:r w:rsidRPr="00DD7859">
        <w:rPr>
          <w:rFonts w:cs="Arial"/>
          <w:sz w:val="24"/>
          <w:szCs w:val="24"/>
        </w:rPr>
        <w:instrText xml:space="preserve">ADDIN RW.CITE{{183 HM Government February </w:instrText>
      </w:r>
      <w:r w:rsidRPr="00DD7859">
        <w:rPr>
          <w:rFonts w:cs="Arial"/>
          <w:sz w:val="24"/>
          <w:szCs w:val="24"/>
        </w:rPr>
        <w:instrText>2011}}</w:instrText>
      </w:r>
      <w:r w:rsidRPr="00DD7859">
        <w:rPr>
          <w:rFonts w:cs="Arial"/>
          <w:sz w:val="24"/>
          <w:szCs w:val="24"/>
        </w:rPr>
        <w:fldChar w:fldCharType="separate"/>
      </w:r>
      <w:r>
        <w:rPr>
          <w:rFonts w:eastAsia="Times New Roman" w:cs="Arial"/>
          <w:sz w:val="24"/>
          <w:szCs w:val="24"/>
        </w:rPr>
        <w:t>(12</w:t>
      </w:r>
      <w:r w:rsidRPr="00DD7859">
        <w:rPr>
          <w:rFonts w:eastAsia="Times New Roman" w:cs="Arial"/>
          <w:sz w:val="24"/>
          <w:szCs w:val="24"/>
        </w:rPr>
        <w:t>)</w:t>
      </w:r>
      <w:r w:rsidRPr="00DD7859">
        <w:rPr>
          <w:rFonts w:cs="Arial"/>
          <w:sz w:val="24"/>
          <w:szCs w:val="24"/>
        </w:rPr>
        <w:fldChar w:fldCharType="end"/>
      </w:r>
      <w:r w:rsidRPr="00DD7859">
        <w:rPr>
          <w:rFonts w:cs="Arial"/>
          <w:sz w:val="24"/>
          <w:szCs w:val="24"/>
        </w:rPr>
        <w:t>.</w:t>
      </w:r>
    </w:p>
    <w:p w:rsidR="00834B9E" w:rsidRPr="00DD7859" w:rsidP="00BF08E7">
      <w:pPr>
        <w:ind w:left="720"/>
        <w:rPr>
          <w:rFonts w:cs="Arial"/>
          <w:b/>
          <w:i/>
          <w:sz w:val="24"/>
          <w:szCs w:val="24"/>
        </w:rPr>
      </w:pPr>
      <w:r w:rsidRPr="00DD7859">
        <w:rPr>
          <w:rFonts w:cs="Arial"/>
          <w:b/>
          <w:sz w:val="24"/>
          <w:szCs w:val="24"/>
        </w:rPr>
        <w:t>"</w:t>
      </w:r>
      <w:r w:rsidRPr="00DD7859">
        <w:rPr>
          <w:rFonts w:cs="Arial"/>
          <w:b/>
          <w:i/>
          <w:sz w:val="24"/>
          <w:szCs w:val="24"/>
        </w:rPr>
        <w:t>The Lancashire and South Cumbria Sustainability and Transformation Plan"</w:t>
      </w:r>
    </w:p>
    <w:p w:rsidR="00C2208C" w:rsidRPr="00DD7859" w:rsidP="00BF08E7">
      <w:pPr>
        <w:ind w:left="720"/>
        <w:rPr>
          <w:rFonts w:cs="Arial"/>
          <w:sz w:val="24"/>
          <w:szCs w:val="24"/>
        </w:rPr>
      </w:pPr>
      <w:r>
        <w:rPr>
          <w:rFonts w:cs="Arial"/>
          <w:sz w:val="24"/>
          <w:szCs w:val="24"/>
        </w:rPr>
        <w:t>Nationally, t</w:t>
      </w:r>
      <w:r w:rsidRPr="00DD7859">
        <w:rPr>
          <w:rFonts w:cs="Arial"/>
          <w:sz w:val="24"/>
          <w:szCs w:val="24"/>
        </w:rPr>
        <w:t>he suicide compo</w:t>
      </w:r>
      <w:r>
        <w:rPr>
          <w:rFonts w:cs="Arial"/>
          <w:sz w:val="24"/>
          <w:szCs w:val="24"/>
        </w:rPr>
        <w:t>nent of STPs</w:t>
      </w:r>
      <w:r w:rsidRPr="00DD7859">
        <w:rPr>
          <w:rFonts w:cs="Arial"/>
          <w:sz w:val="24"/>
          <w:szCs w:val="24"/>
        </w:rPr>
        <w:t xml:space="preserve"> is required to focus strongly on primary care, substance misuse and to incorporate evidence-based preventative interventions </w:t>
      </w:r>
      <w:r w:rsidRPr="00DD7859">
        <w:rPr>
          <w:rFonts w:cs="Arial"/>
          <w:sz w:val="24"/>
          <w:szCs w:val="24"/>
        </w:rPr>
        <w:t>that target high-risk locations and high-risk groups within their population, drawing on localised real-time data</w:t>
      </w:r>
      <w:r w:rsidRPr="00DD7859">
        <w:rPr>
          <w:rFonts w:cs="Arial"/>
          <w:sz w:val="24"/>
          <w:szCs w:val="24"/>
        </w:rPr>
        <w:fldChar w:fldCharType="begin"/>
      </w:r>
      <w:r w:rsidRPr="00DD7859">
        <w:rPr>
          <w:rFonts w:cs="Arial"/>
          <w:sz w:val="24"/>
          <w:szCs w:val="24"/>
        </w:rPr>
        <w:instrText>ADDIN RW.CITE{{773 NHS England 1 February 2016}}</w:instrText>
      </w:r>
      <w:r w:rsidRPr="00DD7859">
        <w:rPr>
          <w:rFonts w:cs="Arial"/>
          <w:sz w:val="24"/>
          <w:szCs w:val="24"/>
        </w:rPr>
        <w:fldChar w:fldCharType="separate"/>
      </w:r>
      <w:r>
        <w:rPr>
          <w:rFonts w:eastAsia="Times New Roman" w:cs="Arial"/>
          <w:sz w:val="24"/>
          <w:szCs w:val="24"/>
        </w:rPr>
        <w:t>(9</w:t>
      </w:r>
      <w:r w:rsidRPr="00DD7859">
        <w:rPr>
          <w:rFonts w:eastAsia="Times New Roman" w:cs="Arial"/>
          <w:sz w:val="24"/>
          <w:szCs w:val="24"/>
        </w:rPr>
        <w:t>)</w:t>
      </w:r>
      <w:r w:rsidRPr="00DD7859">
        <w:rPr>
          <w:rFonts w:cs="Arial"/>
          <w:sz w:val="24"/>
          <w:szCs w:val="24"/>
        </w:rPr>
        <w:fldChar w:fldCharType="end"/>
      </w:r>
      <w:r w:rsidRPr="00DD7859">
        <w:rPr>
          <w:rFonts w:cs="Arial"/>
          <w:sz w:val="24"/>
          <w:szCs w:val="24"/>
        </w:rPr>
        <w:t xml:space="preserve">. </w:t>
      </w:r>
      <w:r>
        <w:rPr>
          <w:rFonts w:cs="Arial"/>
          <w:sz w:val="24"/>
          <w:szCs w:val="24"/>
        </w:rPr>
        <w:t>Suicide sits within the prevention work stream of the</w:t>
      </w:r>
      <w:r w:rsidRPr="00DD7859">
        <w:rPr>
          <w:rFonts w:cs="Arial"/>
          <w:sz w:val="24"/>
          <w:szCs w:val="24"/>
        </w:rPr>
        <w:t xml:space="preserve"> Lancashire and South Cumbria STP</w:t>
      </w:r>
      <w:r>
        <w:rPr>
          <w:rFonts w:cs="Arial"/>
          <w:sz w:val="24"/>
          <w:szCs w:val="24"/>
        </w:rPr>
        <w:t>,</w:t>
      </w:r>
      <w:r>
        <w:rPr>
          <w:rFonts w:cs="Arial"/>
          <w:sz w:val="24"/>
          <w:szCs w:val="24"/>
        </w:rPr>
        <w:t xml:space="preserve"> which</w:t>
      </w:r>
      <w:r w:rsidRPr="00DD7859">
        <w:rPr>
          <w:rFonts w:cs="Arial"/>
          <w:sz w:val="24"/>
          <w:szCs w:val="24"/>
        </w:rPr>
        <w:t xml:space="preserve"> has prioritised prevention and early intervention to reduce suicide</w:t>
      </w:r>
      <w:r w:rsidRPr="00DD7859">
        <w:rPr>
          <w:rFonts w:cs="Arial"/>
          <w:sz w:val="24"/>
          <w:szCs w:val="24"/>
        </w:rPr>
        <w:fldChar w:fldCharType="begin"/>
      </w:r>
      <w:r w:rsidRPr="00DD7859">
        <w:rPr>
          <w:rFonts w:cs="Arial"/>
          <w:sz w:val="24"/>
          <w:szCs w:val="24"/>
        </w:rPr>
        <w:instrText>ADDIN RW.CITE{{774 Healthier Lancashire and South Cumbria 21 October 2016}}</w:instrText>
      </w:r>
      <w:r w:rsidRPr="00DD7859">
        <w:rPr>
          <w:rFonts w:cs="Arial"/>
          <w:sz w:val="24"/>
          <w:szCs w:val="24"/>
        </w:rPr>
        <w:fldChar w:fldCharType="separate"/>
      </w:r>
      <w:r>
        <w:rPr>
          <w:rFonts w:eastAsia="Times New Roman" w:cs="Arial"/>
          <w:sz w:val="24"/>
          <w:szCs w:val="24"/>
        </w:rPr>
        <w:t>(13</w:t>
      </w:r>
      <w:r w:rsidRPr="00DD7859">
        <w:rPr>
          <w:rFonts w:eastAsia="Times New Roman" w:cs="Arial"/>
          <w:sz w:val="24"/>
          <w:szCs w:val="24"/>
        </w:rPr>
        <w:t>)</w:t>
      </w:r>
      <w:r w:rsidRPr="00DD7859">
        <w:rPr>
          <w:rFonts w:cs="Arial"/>
          <w:sz w:val="24"/>
          <w:szCs w:val="24"/>
        </w:rPr>
        <w:fldChar w:fldCharType="end"/>
      </w:r>
      <w:r w:rsidRPr="00DD7859">
        <w:rPr>
          <w:rFonts w:cs="Arial"/>
          <w:sz w:val="24"/>
          <w:szCs w:val="24"/>
        </w:rPr>
        <w:t xml:space="preserve">. </w:t>
      </w:r>
    </w:p>
    <w:p w:rsidR="002544E3" w:rsidRPr="00DD7859" w:rsidP="00C2208C">
      <w:pPr>
        <w:rPr>
          <w:rFonts w:cs="Arial"/>
          <w:sz w:val="24"/>
          <w:szCs w:val="24"/>
        </w:rPr>
      </w:pPr>
    </w:p>
    <w:p w:rsidR="002544E3" w:rsidRPr="00DD7859" w:rsidP="00C2208C">
      <w:pPr>
        <w:rPr>
          <w:rFonts w:cs="Arial"/>
          <w:b/>
          <w:sz w:val="24"/>
          <w:szCs w:val="24"/>
        </w:rPr>
      </w:pPr>
      <w:r w:rsidRPr="00DD7859">
        <w:rPr>
          <w:rFonts w:cs="Arial"/>
          <w:b/>
          <w:sz w:val="24"/>
          <w:szCs w:val="24"/>
        </w:rPr>
        <w:t>Our strategic objectives</w:t>
      </w:r>
    </w:p>
    <w:p w:rsidR="0068138A" w:rsidRPr="00DD7859" w:rsidP="00C2208C">
      <w:pPr>
        <w:rPr>
          <w:rFonts w:cs="Arial"/>
          <w:sz w:val="24"/>
          <w:szCs w:val="24"/>
        </w:rPr>
      </w:pPr>
      <w:r w:rsidRPr="00DD7859">
        <w:rPr>
          <w:rFonts w:cs="Arial"/>
          <w:sz w:val="24"/>
          <w:szCs w:val="24"/>
        </w:rPr>
        <w:t xml:space="preserve">Our vision for the future is to reduce suicide rates in Lancashire at a county-wide level both through </w:t>
      </w:r>
      <w:r>
        <w:rPr>
          <w:rFonts w:cs="Arial"/>
          <w:sz w:val="24"/>
          <w:szCs w:val="24"/>
        </w:rPr>
        <w:t>targeted interventions aimed</w:t>
      </w:r>
      <w:r w:rsidRPr="00DD7859">
        <w:rPr>
          <w:rFonts w:cs="Arial"/>
          <w:sz w:val="24"/>
          <w:szCs w:val="24"/>
        </w:rPr>
        <w:t xml:space="preserve"> at those at the highest risk of suicide and through more upstream initiatives that seek to improve the wellbeing of the Lanc</w:t>
      </w:r>
      <w:r w:rsidRPr="00DD7859">
        <w:rPr>
          <w:rFonts w:cs="Arial"/>
          <w:sz w:val="24"/>
          <w:szCs w:val="24"/>
        </w:rPr>
        <w:t>ashire population and that have wider societal benefits.</w:t>
      </w:r>
      <w:r>
        <w:rPr>
          <w:rFonts w:cs="Arial"/>
          <w:sz w:val="24"/>
          <w:szCs w:val="24"/>
        </w:rPr>
        <w:t xml:space="preserve"> In line with the national target, by 2021 we aim to have reduced the number of people completing suicide in Lancashire by 10% compared to 2016/17 rates.</w:t>
      </w:r>
    </w:p>
    <w:p w:rsidR="0068138A" w:rsidRPr="00DD7859" w:rsidP="00C2208C">
      <w:pPr>
        <w:rPr>
          <w:rFonts w:cs="Arial"/>
          <w:sz w:val="24"/>
          <w:szCs w:val="24"/>
        </w:rPr>
      </w:pPr>
      <w:r>
        <w:rPr>
          <w:rFonts w:cs="Arial"/>
          <w:sz w:val="24"/>
          <w:szCs w:val="24"/>
        </w:rPr>
        <w:t>T</w:t>
      </w:r>
      <w:r w:rsidRPr="00DD7859">
        <w:rPr>
          <w:rFonts w:cs="Arial"/>
          <w:sz w:val="24"/>
          <w:szCs w:val="24"/>
        </w:rPr>
        <w:t>o achieve this vision, we will adopt the stra</w:t>
      </w:r>
      <w:r w:rsidRPr="00DD7859">
        <w:rPr>
          <w:rFonts w:cs="Arial"/>
          <w:sz w:val="24"/>
          <w:szCs w:val="24"/>
        </w:rPr>
        <w:t>tegic objectives of the national suicide prevention strategy ("</w:t>
      </w:r>
      <w:r w:rsidRPr="00DD7859">
        <w:rPr>
          <w:rFonts w:cs="Arial"/>
          <w:i/>
          <w:sz w:val="24"/>
          <w:szCs w:val="24"/>
        </w:rPr>
        <w:t>Preventing suicide in England: a cross-governmental outcomes strategy to save lives")</w:t>
      </w:r>
      <w:r>
        <w:rPr>
          <w:rFonts w:cs="Arial"/>
          <w:sz w:val="24"/>
          <w:szCs w:val="24"/>
        </w:rPr>
        <w:t>(2):</w:t>
      </w:r>
    </w:p>
    <w:p w:rsidR="00042B1D" w:rsidRPr="00DD7859" w:rsidP="00042B1D">
      <w:pPr>
        <w:pStyle w:val="ListParagraph"/>
        <w:numPr>
          <w:ilvl w:val="0"/>
          <w:numId w:val="4"/>
        </w:numPr>
        <w:rPr>
          <w:rFonts w:asciiTheme="minorHAnsi" w:hAnsiTheme="minorHAnsi" w:cs="Arial"/>
        </w:rPr>
      </w:pPr>
      <w:r w:rsidRPr="00DD7859">
        <w:rPr>
          <w:rFonts w:asciiTheme="minorHAnsi" w:hAnsiTheme="minorHAnsi" w:cs="Arial"/>
        </w:rPr>
        <w:t>Reduce the risk of suicide in key high risk groups;</w:t>
      </w:r>
    </w:p>
    <w:p w:rsidR="00042B1D" w:rsidRPr="00DD7859" w:rsidP="00042B1D">
      <w:pPr>
        <w:pStyle w:val="ListParagraph"/>
        <w:numPr>
          <w:ilvl w:val="0"/>
          <w:numId w:val="4"/>
        </w:numPr>
        <w:rPr>
          <w:rFonts w:asciiTheme="minorHAnsi" w:hAnsiTheme="minorHAnsi" w:cs="Arial"/>
        </w:rPr>
      </w:pPr>
      <w:r w:rsidRPr="00DD7859">
        <w:rPr>
          <w:rFonts w:asciiTheme="minorHAnsi" w:hAnsiTheme="minorHAnsi" w:cs="Arial"/>
        </w:rPr>
        <w:t>Tailor approaches to improve mental health in speci</w:t>
      </w:r>
      <w:r w:rsidRPr="00DD7859">
        <w:rPr>
          <w:rFonts w:asciiTheme="minorHAnsi" w:hAnsiTheme="minorHAnsi" w:cs="Arial"/>
        </w:rPr>
        <w:t xml:space="preserve">fic groups; </w:t>
      </w:r>
    </w:p>
    <w:p w:rsidR="00042B1D" w:rsidRPr="00DD7859" w:rsidP="00042B1D">
      <w:pPr>
        <w:pStyle w:val="ListParagraph"/>
        <w:numPr>
          <w:ilvl w:val="0"/>
          <w:numId w:val="4"/>
        </w:numPr>
        <w:rPr>
          <w:rFonts w:asciiTheme="minorHAnsi" w:hAnsiTheme="minorHAnsi" w:cs="Arial"/>
        </w:rPr>
      </w:pPr>
      <w:r w:rsidRPr="00DD7859">
        <w:rPr>
          <w:rFonts w:asciiTheme="minorHAnsi" w:hAnsiTheme="minorHAnsi" w:cs="Arial"/>
        </w:rPr>
        <w:t>Reduce access to the means of suicide;</w:t>
      </w:r>
    </w:p>
    <w:p w:rsidR="00042B1D" w:rsidRPr="00DD7859" w:rsidP="00042B1D">
      <w:pPr>
        <w:pStyle w:val="ListParagraph"/>
        <w:numPr>
          <w:ilvl w:val="0"/>
          <w:numId w:val="4"/>
        </w:numPr>
        <w:rPr>
          <w:rFonts w:asciiTheme="minorHAnsi" w:hAnsiTheme="minorHAnsi" w:cs="Arial"/>
        </w:rPr>
      </w:pPr>
      <w:r w:rsidRPr="00DD7859">
        <w:rPr>
          <w:rFonts w:asciiTheme="minorHAnsi" w:hAnsiTheme="minorHAnsi" w:cs="Arial"/>
        </w:rPr>
        <w:t>Provide better information and support to those bereaved or affected by suicide;</w:t>
      </w:r>
    </w:p>
    <w:p w:rsidR="00042B1D" w:rsidRPr="00DD7859" w:rsidP="00042B1D">
      <w:pPr>
        <w:pStyle w:val="ListParagraph"/>
        <w:numPr>
          <w:ilvl w:val="0"/>
          <w:numId w:val="4"/>
        </w:numPr>
        <w:rPr>
          <w:rFonts w:asciiTheme="minorHAnsi" w:hAnsiTheme="minorHAnsi" w:cs="Arial"/>
        </w:rPr>
      </w:pPr>
      <w:r w:rsidRPr="00DD7859">
        <w:rPr>
          <w:rFonts w:asciiTheme="minorHAnsi" w:hAnsiTheme="minorHAnsi" w:cs="Arial"/>
        </w:rPr>
        <w:t>Support the media in delivering sensitive approaches to suicide and suicidal behaviour and</w:t>
      </w:r>
    </w:p>
    <w:p w:rsidR="00042B1D" w:rsidRPr="00DD7859" w:rsidP="00042B1D">
      <w:pPr>
        <w:pStyle w:val="ListParagraph"/>
        <w:numPr>
          <w:ilvl w:val="0"/>
          <w:numId w:val="4"/>
        </w:numPr>
        <w:rPr>
          <w:rFonts w:asciiTheme="minorHAnsi" w:hAnsiTheme="minorHAnsi" w:cs="Arial"/>
        </w:rPr>
      </w:pPr>
      <w:r w:rsidRPr="00DD7859">
        <w:rPr>
          <w:rFonts w:asciiTheme="minorHAnsi" w:hAnsiTheme="minorHAnsi" w:cs="Arial"/>
        </w:rPr>
        <w:t>Support research, data collectio</w:t>
      </w:r>
      <w:r w:rsidRPr="00DD7859">
        <w:rPr>
          <w:rFonts w:asciiTheme="minorHAnsi" w:hAnsiTheme="minorHAnsi" w:cs="Arial"/>
        </w:rPr>
        <w:t>n and monitoring.</w:t>
      </w:r>
    </w:p>
    <w:p w:rsidR="00E86C1D" w:rsidP="00C2208C">
      <w:pPr>
        <w:rPr>
          <w:rFonts w:cs="Arial"/>
          <w:sz w:val="24"/>
          <w:szCs w:val="24"/>
        </w:rPr>
      </w:pPr>
    </w:p>
    <w:p w:rsidR="00C12ED9" w:rsidP="00C2208C">
      <w:pPr>
        <w:rPr>
          <w:rFonts w:cs="Arial"/>
          <w:sz w:val="24"/>
          <w:szCs w:val="24"/>
        </w:rPr>
      </w:pPr>
      <w:r>
        <w:rPr>
          <w:rFonts w:cs="Arial"/>
          <w:sz w:val="24"/>
          <w:szCs w:val="24"/>
        </w:rPr>
        <w:t>In order to ensure that these objectives are relevant to the twelve districts of Lancashire County Council, our approach to each of these objectives will be determined by local data, including that generated through our recent Lancashire</w:t>
      </w:r>
      <w:r>
        <w:rPr>
          <w:rFonts w:cs="Arial"/>
          <w:sz w:val="24"/>
          <w:szCs w:val="24"/>
        </w:rPr>
        <w:t xml:space="preserve"> Suicide Audit, as well as the wider evidence base. This methodology will help to ensure that our strategy is both in alignment with national and local agendas, as the Lancashire and South Cumbria STP suicide plans are also structured around the national o</w:t>
      </w:r>
      <w:r>
        <w:rPr>
          <w:rFonts w:cs="Arial"/>
          <w:sz w:val="24"/>
          <w:szCs w:val="24"/>
        </w:rPr>
        <w:t>bjectives, and is locally applicable.</w:t>
      </w:r>
    </w:p>
    <w:p w:rsidR="00E86C1D" w:rsidRPr="00DD7859" w:rsidP="00C2208C">
      <w:pPr>
        <w:rPr>
          <w:rFonts w:cs="Arial"/>
          <w:sz w:val="24"/>
          <w:szCs w:val="24"/>
        </w:rPr>
      </w:pPr>
    </w:p>
    <w:p w:rsidR="00C12ED9" w:rsidRPr="00DD7859" w:rsidP="00C12ED9">
      <w:pPr>
        <w:rPr>
          <w:rFonts w:cs="Arial"/>
          <w:b/>
          <w:sz w:val="24"/>
          <w:szCs w:val="24"/>
          <w:u w:val="single"/>
        </w:rPr>
      </w:pPr>
      <w:r w:rsidRPr="00DD7859">
        <w:rPr>
          <w:rFonts w:cs="Arial"/>
          <w:b/>
          <w:sz w:val="24"/>
          <w:szCs w:val="24"/>
          <w:u w:val="single"/>
        </w:rPr>
        <w:t>Action plan</w:t>
      </w:r>
    </w:p>
    <w:p w:rsidR="00042B1D" w:rsidRPr="00DD7859" w:rsidP="00042B1D">
      <w:pPr>
        <w:pStyle w:val="ListParagraph"/>
        <w:numPr>
          <w:ilvl w:val="0"/>
          <w:numId w:val="3"/>
        </w:numPr>
        <w:rPr>
          <w:rFonts w:asciiTheme="minorHAnsi" w:hAnsiTheme="minorHAnsi" w:cs="Arial"/>
          <w:b/>
        </w:rPr>
      </w:pPr>
      <w:r w:rsidRPr="00DD7859">
        <w:rPr>
          <w:rFonts w:asciiTheme="minorHAnsi" w:hAnsiTheme="minorHAnsi" w:cs="Arial"/>
          <w:b/>
        </w:rPr>
        <w:t>Reduce the risk of suicide in key high risk groups:</w:t>
      </w:r>
    </w:p>
    <w:p w:rsidR="00C73CDA" w:rsidRPr="00DD7859" w:rsidP="00C73CDA">
      <w:pPr>
        <w:pStyle w:val="ListParagraph"/>
        <w:numPr>
          <w:ilvl w:val="0"/>
          <w:numId w:val="6"/>
        </w:numPr>
        <w:ind w:right="81"/>
        <w:rPr>
          <w:rFonts w:asciiTheme="minorHAnsi" w:hAnsiTheme="minorHAnsi" w:cs="Arial"/>
          <w:b/>
        </w:rPr>
      </w:pPr>
      <w:r w:rsidRPr="00DD7859">
        <w:rPr>
          <w:rFonts w:asciiTheme="minorHAnsi" w:hAnsiTheme="minorHAnsi" w:cs="Arial"/>
          <w:b/>
        </w:rPr>
        <w:t>Young and middle-aged men;</w:t>
      </w:r>
    </w:p>
    <w:p w:rsidR="00C73CDA" w:rsidRPr="00DD7859" w:rsidP="00C73CDA">
      <w:pPr>
        <w:pStyle w:val="ListParagraph"/>
        <w:numPr>
          <w:ilvl w:val="0"/>
          <w:numId w:val="6"/>
        </w:numPr>
        <w:ind w:right="81"/>
        <w:rPr>
          <w:rFonts w:asciiTheme="minorHAnsi" w:hAnsiTheme="minorHAnsi" w:cs="Arial"/>
          <w:b/>
        </w:rPr>
      </w:pPr>
      <w:r w:rsidRPr="00DD7859">
        <w:rPr>
          <w:rFonts w:asciiTheme="minorHAnsi" w:hAnsiTheme="minorHAnsi" w:cs="Arial"/>
          <w:b/>
        </w:rPr>
        <w:t>People in the care of mental health services, including inpatients;</w:t>
      </w:r>
    </w:p>
    <w:p w:rsidR="00C73CDA" w:rsidRPr="00DD7859" w:rsidP="00C73CDA">
      <w:pPr>
        <w:pStyle w:val="ListParagraph"/>
        <w:numPr>
          <w:ilvl w:val="0"/>
          <w:numId w:val="6"/>
        </w:numPr>
        <w:ind w:right="81"/>
        <w:rPr>
          <w:rFonts w:asciiTheme="minorHAnsi" w:hAnsiTheme="minorHAnsi" w:cs="Arial"/>
          <w:b/>
        </w:rPr>
      </w:pPr>
      <w:r w:rsidRPr="00DD7859">
        <w:rPr>
          <w:rFonts w:asciiTheme="minorHAnsi" w:hAnsiTheme="minorHAnsi" w:cs="Arial"/>
          <w:b/>
        </w:rPr>
        <w:t>People with a history of self-harm;</w:t>
      </w:r>
    </w:p>
    <w:p w:rsidR="00C73CDA" w:rsidRPr="00DD7859" w:rsidP="00C73CDA">
      <w:pPr>
        <w:pStyle w:val="ListParagraph"/>
        <w:numPr>
          <w:ilvl w:val="0"/>
          <w:numId w:val="6"/>
        </w:numPr>
        <w:ind w:right="81"/>
        <w:rPr>
          <w:rFonts w:asciiTheme="minorHAnsi" w:hAnsiTheme="minorHAnsi" w:cs="Arial"/>
          <w:b/>
        </w:rPr>
      </w:pPr>
      <w:r w:rsidRPr="00DD7859">
        <w:rPr>
          <w:rFonts w:asciiTheme="minorHAnsi" w:hAnsiTheme="minorHAnsi" w:cs="Arial"/>
          <w:b/>
        </w:rPr>
        <w:t>People in contact with</w:t>
      </w:r>
      <w:r w:rsidRPr="00DD7859">
        <w:rPr>
          <w:rFonts w:asciiTheme="minorHAnsi" w:hAnsiTheme="minorHAnsi" w:cs="Arial"/>
          <w:b/>
        </w:rPr>
        <w:t xml:space="preserve"> the criminal justice system and</w:t>
      </w:r>
    </w:p>
    <w:p w:rsidR="00444FB5" w:rsidRPr="000C26EB" w:rsidP="00042B1D">
      <w:pPr>
        <w:pStyle w:val="ListParagraph"/>
        <w:numPr>
          <w:ilvl w:val="0"/>
          <w:numId w:val="6"/>
        </w:numPr>
        <w:ind w:right="81"/>
        <w:rPr>
          <w:rFonts w:asciiTheme="minorHAnsi" w:hAnsiTheme="minorHAnsi" w:cs="Arial"/>
          <w:b/>
        </w:rPr>
      </w:pPr>
      <w:r w:rsidRPr="00DD7859">
        <w:rPr>
          <w:rFonts w:asciiTheme="minorHAnsi" w:hAnsiTheme="minorHAnsi" w:cs="Arial"/>
          <w:b/>
        </w:rPr>
        <w:t>Specific occupational groups such as doctors, nurses, veterinary workers, farmers and agricultural workers.</w:t>
      </w:r>
    </w:p>
    <w:p w:rsidR="00042B1D" w:rsidP="00042B1D">
      <w:pPr>
        <w:ind w:right="81"/>
        <w:rPr>
          <w:rFonts w:cs="Arial"/>
          <w:sz w:val="24"/>
          <w:szCs w:val="24"/>
        </w:rPr>
      </w:pPr>
      <w:r>
        <w:rPr>
          <w:rFonts w:cs="Arial"/>
          <w:sz w:val="24"/>
          <w:szCs w:val="24"/>
        </w:rPr>
        <w:t>As demonstrated by the suicide audit, the most pertinent high-risk groups in Lancashire are</w:t>
      </w:r>
      <w:r w:rsidRPr="00DD7859">
        <w:rPr>
          <w:rFonts w:cs="Arial"/>
          <w:sz w:val="24"/>
          <w:szCs w:val="24"/>
        </w:rPr>
        <w:t xml:space="preserve"> young and middle-aged m</w:t>
      </w:r>
      <w:r w:rsidRPr="00DD7859">
        <w:rPr>
          <w:rFonts w:cs="Arial"/>
          <w:sz w:val="24"/>
          <w:szCs w:val="24"/>
        </w:rPr>
        <w:t>en, people with a history of self-harm (including previous suicide attempts), people in contact with the criminal justice system (most notably child sex offenders) and people in contact with mental health services. No specific occupational groups were high</w:t>
      </w:r>
      <w:r w:rsidRPr="00DD7859">
        <w:rPr>
          <w:rFonts w:cs="Arial"/>
          <w:sz w:val="24"/>
          <w:szCs w:val="24"/>
        </w:rPr>
        <w:t xml:space="preserve">lighted as being at-risk, potentially because of the small numbers of each occupational group involved. </w:t>
      </w:r>
    </w:p>
    <w:p w:rsidR="00DD7859" w:rsidRPr="00DD7859" w:rsidP="00042B1D">
      <w:pPr>
        <w:ind w:right="81"/>
        <w:rPr>
          <w:rFonts w:cs="Arial"/>
          <w:sz w:val="24"/>
          <w:szCs w:val="24"/>
        </w:rPr>
      </w:pPr>
    </w:p>
    <w:p w:rsidR="00C73CDA" w:rsidRPr="00444FB5" w:rsidP="00C73CDA">
      <w:pPr>
        <w:pStyle w:val="ListParagraph"/>
        <w:numPr>
          <w:ilvl w:val="1"/>
          <w:numId w:val="3"/>
        </w:numPr>
        <w:ind w:right="81"/>
        <w:rPr>
          <w:rFonts w:asciiTheme="minorHAnsi" w:hAnsiTheme="minorHAnsi" w:cs="Arial"/>
          <w:i/>
        </w:rPr>
      </w:pPr>
      <w:r w:rsidRPr="00444FB5">
        <w:rPr>
          <w:rFonts w:asciiTheme="minorHAnsi" w:hAnsiTheme="minorHAnsi" w:cs="Arial"/>
          <w:i/>
        </w:rPr>
        <w:t>Young and middle-aged men</w:t>
      </w:r>
    </w:p>
    <w:p w:rsidR="00C73CDA" w:rsidRPr="00444FB5" w:rsidP="00C73CDA">
      <w:pPr>
        <w:shd w:val="clear" w:color="auto" w:fill="D9D9D9"/>
        <w:ind w:right="81"/>
        <w:rPr>
          <w:rFonts w:cs="Arial"/>
          <w:sz w:val="24"/>
          <w:szCs w:val="24"/>
        </w:rPr>
      </w:pPr>
      <w:r w:rsidRPr="00444FB5">
        <w:rPr>
          <w:rFonts w:cs="Arial"/>
          <w:sz w:val="24"/>
          <w:szCs w:val="24"/>
        </w:rPr>
        <w:t>Action point 1: Offer services for men and train staff in community locations in Lancashire away from formal healthcare sett</w:t>
      </w:r>
      <w:r w:rsidRPr="00444FB5">
        <w:rPr>
          <w:rFonts w:cs="Arial"/>
          <w:sz w:val="24"/>
          <w:szCs w:val="24"/>
        </w:rPr>
        <w:t>ings.</w:t>
      </w:r>
    </w:p>
    <w:p w:rsidR="00C73CDA" w:rsidRPr="00444FB5" w:rsidP="00C73CDA">
      <w:pPr>
        <w:shd w:val="clear" w:color="auto" w:fill="D9D9D9"/>
        <w:ind w:right="81"/>
        <w:rPr>
          <w:rFonts w:cs="Arial"/>
          <w:sz w:val="24"/>
          <w:szCs w:val="24"/>
        </w:rPr>
      </w:pPr>
      <w:r w:rsidRPr="00444FB5">
        <w:rPr>
          <w:rFonts w:cs="Arial"/>
          <w:sz w:val="24"/>
          <w:szCs w:val="24"/>
        </w:rPr>
        <w:t xml:space="preserve">Action point 2: Develop local campaigns to reduce the stigma of mental illness and suicide building on current national momentum, such as the "Time to Talk" campaign. </w:t>
      </w:r>
    </w:p>
    <w:p w:rsidR="00C73CDA" w:rsidRPr="00444FB5" w:rsidP="00C73CDA">
      <w:pPr>
        <w:shd w:val="clear" w:color="auto" w:fill="D9D9D9"/>
        <w:ind w:right="81"/>
        <w:rPr>
          <w:rFonts w:cs="Arial"/>
          <w:sz w:val="24"/>
          <w:szCs w:val="24"/>
        </w:rPr>
      </w:pPr>
      <w:r w:rsidRPr="00444FB5">
        <w:rPr>
          <w:rFonts w:cs="Arial"/>
          <w:sz w:val="24"/>
          <w:szCs w:val="24"/>
        </w:rPr>
        <w:t>Action point 3: Invest in initiatives to reduce male unemployment in Lancashire.</w:t>
      </w:r>
    </w:p>
    <w:p w:rsidR="00C73CDA" w:rsidRPr="00444FB5" w:rsidP="00C73CDA">
      <w:pPr>
        <w:pStyle w:val="ListParagraph"/>
        <w:numPr>
          <w:ilvl w:val="1"/>
          <w:numId w:val="3"/>
        </w:numPr>
        <w:ind w:right="81"/>
        <w:rPr>
          <w:rFonts w:asciiTheme="minorHAnsi" w:hAnsiTheme="minorHAnsi" w:cs="Arial"/>
          <w:i/>
        </w:rPr>
      </w:pPr>
      <w:r>
        <w:rPr>
          <w:rFonts w:asciiTheme="minorHAnsi" w:hAnsiTheme="minorHAnsi" w:cs="Arial"/>
          <w:i/>
        </w:rPr>
        <w:t>P</w:t>
      </w:r>
      <w:r>
        <w:rPr>
          <w:rFonts w:asciiTheme="minorHAnsi" w:hAnsiTheme="minorHAnsi" w:cs="Arial"/>
          <w:i/>
        </w:rPr>
        <w:t>eople with a history of self-</w:t>
      </w:r>
      <w:r w:rsidRPr="00444FB5">
        <w:rPr>
          <w:rFonts w:asciiTheme="minorHAnsi" w:hAnsiTheme="minorHAnsi" w:cs="Arial"/>
          <w:i/>
        </w:rPr>
        <w:t>harm</w:t>
      </w:r>
    </w:p>
    <w:p w:rsidR="00C73CDA" w:rsidRPr="00444FB5" w:rsidP="00DD7859">
      <w:pPr>
        <w:shd w:val="clear" w:color="auto" w:fill="D9D9D9"/>
        <w:ind w:right="81"/>
        <w:rPr>
          <w:rFonts w:cs="Arial"/>
          <w:sz w:val="24"/>
          <w:szCs w:val="24"/>
        </w:rPr>
      </w:pPr>
      <w:r w:rsidRPr="00444FB5">
        <w:rPr>
          <w:rFonts w:cs="Arial"/>
          <w:sz w:val="24"/>
          <w:szCs w:val="24"/>
        </w:rPr>
        <w:t>Action point 4: Emergency Departments and secondary care to be represented on the local multi-agency suicide prevention group.</w:t>
      </w:r>
    </w:p>
    <w:p w:rsidR="00C73CDA" w:rsidRPr="00444FB5" w:rsidP="00C73CDA">
      <w:pPr>
        <w:shd w:val="clear" w:color="auto" w:fill="D9D9D9"/>
        <w:ind w:right="81"/>
        <w:rPr>
          <w:rFonts w:cs="Arial"/>
          <w:sz w:val="24"/>
          <w:szCs w:val="24"/>
        </w:rPr>
      </w:pPr>
      <w:r w:rsidRPr="00444FB5">
        <w:rPr>
          <w:rFonts w:cs="Arial"/>
          <w:sz w:val="24"/>
          <w:szCs w:val="24"/>
        </w:rPr>
        <w:t>Action point</w:t>
      </w:r>
      <w:r w:rsidRPr="00444FB5">
        <w:rPr>
          <w:rFonts w:cs="Arial"/>
          <w:sz w:val="24"/>
          <w:szCs w:val="24"/>
        </w:rPr>
        <w:t xml:space="preserve"> 5: Local pathways for the assessment, management and follow-up of people presenting to Emergency Departments with self-harm to be reviewed and, if required, integrated mental health care pathways to be developed between mental health liaison teams in seco</w:t>
      </w:r>
      <w:r w:rsidRPr="00444FB5">
        <w:rPr>
          <w:rFonts w:cs="Arial"/>
          <w:sz w:val="24"/>
          <w:szCs w:val="24"/>
        </w:rPr>
        <w:t>ndary care and community services.</w:t>
      </w:r>
    </w:p>
    <w:p w:rsidR="00C73CDA" w:rsidRPr="00444FB5" w:rsidP="00C73CDA">
      <w:pPr>
        <w:shd w:val="clear" w:color="auto" w:fill="D9D9D9"/>
        <w:ind w:right="81"/>
        <w:rPr>
          <w:rFonts w:cs="Arial"/>
          <w:sz w:val="24"/>
          <w:szCs w:val="24"/>
        </w:rPr>
      </w:pPr>
      <w:r w:rsidRPr="00444FB5">
        <w:rPr>
          <w:rFonts w:cs="Arial"/>
          <w:sz w:val="24"/>
          <w:szCs w:val="24"/>
        </w:rPr>
        <w:t>Action point 6: Training on suicide prevention for clinical staff in Lancashire on aspects pertinent to their work, such as self-harm risk assessment and safe prescribing, through existing programmes of professional educa</w:t>
      </w:r>
      <w:r w:rsidRPr="00444FB5">
        <w:rPr>
          <w:rFonts w:cs="Arial"/>
          <w:sz w:val="24"/>
          <w:szCs w:val="24"/>
        </w:rPr>
        <w:t xml:space="preserve">tion. </w:t>
      </w:r>
    </w:p>
    <w:p w:rsidR="00C73CDA" w:rsidRPr="00713212" w:rsidP="00C73CDA">
      <w:pPr>
        <w:ind w:right="81"/>
        <w:rPr>
          <w:rFonts w:cs="Arial"/>
          <w:i/>
          <w:sz w:val="24"/>
          <w:szCs w:val="24"/>
        </w:rPr>
      </w:pPr>
      <w:r w:rsidRPr="00713212">
        <w:rPr>
          <w:rFonts w:cs="Arial"/>
          <w:i/>
          <w:sz w:val="24"/>
          <w:szCs w:val="24"/>
        </w:rPr>
        <w:t>1.3.</w:t>
      </w:r>
      <w:r>
        <w:rPr>
          <w:rFonts w:cs="Arial"/>
          <w:i/>
          <w:sz w:val="24"/>
          <w:szCs w:val="24"/>
        </w:rPr>
        <w:t>People in contact with the c</w:t>
      </w:r>
      <w:r w:rsidRPr="00713212">
        <w:rPr>
          <w:rFonts w:cs="Arial"/>
          <w:i/>
          <w:sz w:val="24"/>
          <w:szCs w:val="24"/>
        </w:rPr>
        <w:t>riminal justice system</w:t>
      </w:r>
    </w:p>
    <w:p w:rsidR="00C73CDA" w:rsidRPr="0012115F" w:rsidP="00C73CDA">
      <w:pPr>
        <w:shd w:val="clear" w:color="auto" w:fill="D9D9D9"/>
        <w:ind w:right="81"/>
        <w:rPr>
          <w:rFonts w:cs="Arial"/>
          <w:sz w:val="24"/>
          <w:szCs w:val="24"/>
        </w:rPr>
      </w:pPr>
      <w:r w:rsidRPr="0012115F">
        <w:rPr>
          <w:rFonts w:cs="Arial"/>
          <w:sz w:val="24"/>
          <w:szCs w:val="24"/>
        </w:rPr>
        <w:t>Action point 7: Lancashire Constabulary to review and strengthen their risk assessment, checks and safety netting procedures for when individuals leave custody, particular</w:t>
      </w:r>
      <w:r>
        <w:rPr>
          <w:rFonts w:cs="Arial"/>
          <w:sz w:val="24"/>
          <w:szCs w:val="24"/>
        </w:rPr>
        <w:t>ly</w:t>
      </w:r>
      <w:r w:rsidRPr="0012115F">
        <w:rPr>
          <w:rFonts w:cs="Arial"/>
          <w:sz w:val="24"/>
          <w:szCs w:val="24"/>
        </w:rPr>
        <w:t xml:space="preserve"> amongst those suspected of child sex offences.</w:t>
      </w:r>
    </w:p>
    <w:p w:rsidR="00C73CDA" w:rsidRPr="0012115F" w:rsidP="00C73CDA">
      <w:pPr>
        <w:pStyle w:val="ListParagraph"/>
        <w:numPr>
          <w:ilvl w:val="1"/>
          <w:numId w:val="3"/>
        </w:numPr>
        <w:ind w:right="81"/>
        <w:rPr>
          <w:rFonts w:asciiTheme="minorHAnsi" w:hAnsiTheme="minorHAnsi" w:cs="Arial"/>
          <w:i/>
        </w:rPr>
      </w:pPr>
      <w:r w:rsidRPr="0012115F">
        <w:rPr>
          <w:rFonts w:asciiTheme="minorHAnsi" w:hAnsiTheme="minorHAnsi" w:cs="Arial"/>
          <w:i/>
        </w:rPr>
        <w:t>People in contact with mental health services</w:t>
      </w:r>
    </w:p>
    <w:p w:rsidR="00C73CDA" w:rsidRPr="0012115F" w:rsidP="00C73CDA">
      <w:pPr>
        <w:shd w:val="clear" w:color="auto" w:fill="D9D9D9"/>
        <w:ind w:right="81"/>
        <w:rPr>
          <w:rFonts w:cs="Arial"/>
          <w:sz w:val="24"/>
          <w:szCs w:val="24"/>
        </w:rPr>
      </w:pPr>
      <w:r w:rsidRPr="0012115F">
        <w:rPr>
          <w:rFonts w:cs="Arial"/>
          <w:sz w:val="24"/>
          <w:szCs w:val="24"/>
        </w:rPr>
        <w:t xml:space="preserve">Action point 8: All agencies represented on the local multi-agency </w:t>
      </w:r>
      <w:r>
        <w:rPr>
          <w:rFonts w:cs="Arial"/>
          <w:sz w:val="24"/>
          <w:szCs w:val="24"/>
        </w:rPr>
        <w:t>suicide steering group to pledge</w:t>
      </w:r>
      <w:r w:rsidRPr="0012115F">
        <w:rPr>
          <w:rFonts w:cs="Arial"/>
          <w:sz w:val="24"/>
          <w:szCs w:val="24"/>
        </w:rPr>
        <w:t xml:space="preserve"> to ongoing financial commitment to mental health.</w:t>
      </w:r>
    </w:p>
    <w:p w:rsidR="00C73CDA" w:rsidRPr="0012115F" w:rsidP="00C73CDA">
      <w:pPr>
        <w:shd w:val="clear" w:color="auto" w:fill="D9D9D9"/>
        <w:ind w:right="81"/>
        <w:rPr>
          <w:rFonts w:cs="Arial"/>
          <w:sz w:val="24"/>
          <w:szCs w:val="24"/>
        </w:rPr>
      </w:pPr>
      <w:r w:rsidRPr="0012115F">
        <w:rPr>
          <w:rFonts w:cs="Arial"/>
          <w:sz w:val="24"/>
          <w:szCs w:val="24"/>
        </w:rPr>
        <w:t>Action point</w:t>
      </w:r>
      <w:r w:rsidRPr="0012115F">
        <w:rPr>
          <w:rFonts w:cs="Arial"/>
          <w:sz w:val="24"/>
          <w:szCs w:val="24"/>
        </w:rPr>
        <w:t xml:space="preserve"> 9: Mental health services in Lancashire should be joined up with employment services to allow both mental health and employment needs to be addressed.</w:t>
      </w:r>
    </w:p>
    <w:p w:rsidR="00C73CDA" w:rsidRPr="0012115F" w:rsidP="00C73CDA">
      <w:pPr>
        <w:shd w:val="clear" w:color="auto" w:fill="D9D9D9"/>
        <w:ind w:right="81"/>
        <w:rPr>
          <w:rFonts w:cs="Arial"/>
          <w:sz w:val="24"/>
          <w:szCs w:val="24"/>
        </w:rPr>
      </w:pPr>
      <w:r w:rsidRPr="0012115F">
        <w:rPr>
          <w:rFonts w:cs="Arial"/>
          <w:sz w:val="24"/>
          <w:szCs w:val="24"/>
        </w:rPr>
        <w:t>Action point 10: Targeted interventions and services to enable people with mental health conditions in L</w:t>
      </w:r>
      <w:r w:rsidRPr="0012115F">
        <w:rPr>
          <w:rFonts w:cs="Arial"/>
          <w:sz w:val="24"/>
          <w:szCs w:val="24"/>
        </w:rPr>
        <w:t>ancashire to return to or enter the workplace.</w:t>
      </w:r>
    </w:p>
    <w:p w:rsidR="00C73CDA" w:rsidRPr="0012115F" w:rsidP="00C73CDA">
      <w:pPr>
        <w:shd w:val="clear" w:color="auto" w:fill="D9D9D9"/>
        <w:ind w:right="81"/>
        <w:rPr>
          <w:rFonts w:cs="Arial"/>
          <w:sz w:val="24"/>
          <w:szCs w:val="24"/>
        </w:rPr>
      </w:pPr>
      <w:r w:rsidRPr="0012115F">
        <w:rPr>
          <w:rFonts w:cs="Arial"/>
          <w:sz w:val="24"/>
          <w:szCs w:val="24"/>
        </w:rPr>
        <w:t>Action point 11: Mental health services in Lancashire to review their operating procedures and explore approaches to integrated working and information sharing.</w:t>
      </w:r>
    </w:p>
    <w:p w:rsidR="00C73CDA" w:rsidRPr="00DD7859" w:rsidP="00C73CDA">
      <w:pPr>
        <w:ind w:right="81"/>
        <w:rPr>
          <w:rFonts w:cs="Arial"/>
          <w:b/>
          <w:sz w:val="24"/>
          <w:szCs w:val="24"/>
        </w:rPr>
      </w:pPr>
    </w:p>
    <w:p w:rsidR="00C73CDA" w:rsidRPr="00DD7859" w:rsidP="00C73CDA">
      <w:pPr>
        <w:pStyle w:val="ListParagraph"/>
        <w:numPr>
          <w:ilvl w:val="0"/>
          <w:numId w:val="3"/>
        </w:numPr>
        <w:ind w:right="81"/>
        <w:rPr>
          <w:rFonts w:asciiTheme="minorHAnsi" w:hAnsiTheme="minorHAnsi" w:cs="Arial"/>
          <w:b/>
        </w:rPr>
      </w:pPr>
      <w:r w:rsidRPr="00DD7859">
        <w:rPr>
          <w:rFonts w:asciiTheme="minorHAnsi" w:hAnsiTheme="minorHAnsi" w:cs="Arial"/>
          <w:b/>
        </w:rPr>
        <w:t>Tailor approaches to improve mental health in s</w:t>
      </w:r>
      <w:r w:rsidRPr="00DD7859">
        <w:rPr>
          <w:rFonts w:asciiTheme="minorHAnsi" w:hAnsiTheme="minorHAnsi" w:cs="Arial"/>
          <w:b/>
        </w:rPr>
        <w:t>pecific groups:</w:t>
      </w:r>
    </w:p>
    <w:p w:rsidR="00AC0652" w:rsidRPr="00DD7859" w:rsidP="00AC0652">
      <w:pPr>
        <w:pStyle w:val="ListParagraph"/>
        <w:numPr>
          <w:ilvl w:val="0"/>
          <w:numId w:val="8"/>
        </w:numPr>
        <w:ind w:right="81"/>
        <w:rPr>
          <w:rFonts w:asciiTheme="minorHAnsi" w:hAnsiTheme="minorHAnsi" w:cs="Arial"/>
          <w:b/>
        </w:rPr>
      </w:pPr>
      <w:r w:rsidRPr="00DD7859">
        <w:rPr>
          <w:rFonts w:asciiTheme="minorHAnsi" w:hAnsiTheme="minorHAnsi" w:cs="Arial"/>
          <w:b/>
        </w:rPr>
        <w:t>Children and young people;</w:t>
      </w:r>
    </w:p>
    <w:p w:rsidR="00AC0652" w:rsidRPr="00DD7859" w:rsidP="00AC0652">
      <w:pPr>
        <w:pStyle w:val="ListParagraph"/>
        <w:numPr>
          <w:ilvl w:val="0"/>
          <w:numId w:val="8"/>
        </w:numPr>
        <w:ind w:right="81"/>
        <w:rPr>
          <w:rFonts w:asciiTheme="minorHAnsi" w:hAnsiTheme="minorHAnsi" w:cs="Arial"/>
          <w:b/>
        </w:rPr>
      </w:pPr>
      <w:r w:rsidRPr="00DD7859">
        <w:rPr>
          <w:rFonts w:asciiTheme="minorHAnsi" w:hAnsiTheme="minorHAnsi" w:cs="Arial"/>
          <w:b/>
        </w:rPr>
        <w:t>Survivors of abuse or violence;</w:t>
      </w:r>
    </w:p>
    <w:p w:rsidR="00AC0652" w:rsidRPr="00DD7859" w:rsidP="00AC0652">
      <w:pPr>
        <w:pStyle w:val="ListParagraph"/>
        <w:numPr>
          <w:ilvl w:val="0"/>
          <w:numId w:val="8"/>
        </w:numPr>
        <w:ind w:right="81"/>
        <w:rPr>
          <w:rFonts w:asciiTheme="minorHAnsi" w:hAnsiTheme="minorHAnsi" w:cs="Arial"/>
          <w:b/>
        </w:rPr>
      </w:pPr>
      <w:r w:rsidRPr="00DD7859">
        <w:rPr>
          <w:rFonts w:asciiTheme="minorHAnsi" w:hAnsiTheme="minorHAnsi" w:cs="Arial"/>
          <w:b/>
        </w:rPr>
        <w:t>Veterans;</w:t>
      </w:r>
    </w:p>
    <w:p w:rsidR="00AC0652" w:rsidRPr="00DD7859" w:rsidP="00AC0652">
      <w:pPr>
        <w:pStyle w:val="ListParagraph"/>
        <w:numPr>
          <w:ilvl w:val="0"/>
          <w:numId w:val="8"/>
        </w:numPr>
        <w:ind w:right="81"/>
        <w:rPr>
          <w:rFonts w:asciiTheme="minorHAnsi" w:hAnsiTheme="minorHAnsi" w:cs="Arial"/>
          <w:b/>
        </w:rPr>
      </w:pPr>
      <w:r w:rsidRPr="00DD7859">
        <w:rPr>
          <w:rFonts w:asciiTheme="minorHAnsi" w:hAnsiTheme="minorHAnsi" w:cs="Arial"/>
          <w:b/>
        </w:rPr>
        <w:t>People living with long-term physical health conditions;</w:t>
      </w:r>
    </w:p>
    <w:p w:rsidR="00AC0652" w:rsidRPr="00DD7859" w:rsidP="00AC0652">
      <w:pPr>
        <w:pStyle w:val="ListParagraph"/>
        <w:numPr>
          <w:ilvl w:val="0"/>
          <w:numId w:val="8"/>
        </w:numPr>
        <w:ind w:right="81"/>
        <w:rPr>
          <w:rFonts w:asciiTheme="minorHAnsi" w:hAnsiTheme="minorHAnsi" w:cs="Arial"/>
          <w:b/>
        </w:rPr>
      </w:pPr>
      <w:r w:rsidRPr="00DD7859">
        <w:rPr>
          <w:rFonts w:asciiTheme="minorHAnsi" w:hAnsiTheme="minorHAnsi" w:cs="Arial"/>
          <w:b/>
        </w:rPr>
        <w:t>People with untreated depression;</w:t>
      </w:r>
    </w:p>
    <w:p w:rsidR="00AC0652" w:rsidRPr="00DD7859" w:rsidP="00AC0652">
      <w:pPr>
        <w:pStyle w:val="ListParagraph"/>
        <w:numPr>
          <w:ilvl w:val="0"/>
          <w:numId w:val="8"/>
        </w:numPr>
        <w:ind w:right="81"/>
        <w:rPr>
          <w:rFonts w:asciiTheme="minorHAnsi" w:hAnsiTheme="minorHAnsi" w:cs="Arial"/>
          <w:b/>
        </w:rPr>
      </w:pPr>
      <w:r w:rsidRPr="00DD7859">
        <w:rPr>
          <w:rFonts w:asciiTheme="minorHAnsi" w:hAnsiTheme="minorHAnsi" w:cs="Arial"/>
          <w:b/>
        </w:rPr>
        <w:t>People who are especially vulnerable due to social and economic circumstances;</w:t>
      </w:r>
    </w:p>
    <w:p w:rsidR="00AC0652" w:rsidRPr="00DD7859" w:rsidP="00AC0652">
      <w:pPr>
        <w:pStyle w:val="ListParagraph"/>
        <w:numPr>
          <w:ilvl w:val="0"/>
          <w:numId w:val="8"/>
        </w:numPr>
        <w:ind w:right="81"/>
        <w:rPr>
          <w:rFonts w:asciiTheme="minorHAnsi" w:hAnsiTheme="minorHAnsi" w:cs="Arial"/>
          <w:b/>
        </w:rPr>
      </w:pPr>
      <w:r w:rsidRPr="00DD7859">
        <w:rPr>
          <w:rFonts w:asciiTheme="minorHAnsi" w:hAnsiTheme="minorHAnsi" w:cs="Arial"/>
          <w:b/>
        </w:rPr>
        <w:t>People who misuse drugs or alcohol;</w:t>
      </w:r>
    </w:p>
    <w:p w:rsidR="00AC0652" w:rsidRPr="00DD7859" w:rsidP="00AC0652">
      <w:pPr>
        <w:pStyle w:val="ListParagraph"/>
        <w:numPr>
          <w:ilvl w:val="0"/>
          <w:numId w:val="8"/>
        </w:numPr>
        <w:ind w:right="81"/>
        <w:rPr>
          <w:rFonts w:asciiTheme="minorHAnsi" w:hAnsiTheme="minorHAnsi" w:cs="Arial"/>
          <w:b/>
        </w:rPr>
      </w:pPr>
      <w:r w:rsidRPr="00DD7859">
        <w:rPr>
          <w:rFonts w:asciiTheme="minorHAnsi" w:hAnsiTheme="minorHAnsi" w:cs="Arial"/>
          <w:b/>
        </w:rPr>
        <w:t>Lesbian, gay, bisexual and transgender (LGBT) people and</w:t>
      </w:r>
    </w:p>
    <w:p w:rsidR="00AC0652" w:rsidRPr="00DD7859" w:rsidP="00AC0652">
      <w:pPr>
        <w:pStyle w:val="ListParagraph"/>
        <w:numPr>
          <w:ilvl w:val="0"/>
          <w:numId w:val="8"/>
        </w:numPr>
        <w:ind w:right="81"/>
        <w:rPr>
          <w:rFonts w:asciiTheme="minorHAnsi" w:hAnsiTheme="minorHAnsi" w:cs="Arial"/>
          <w:b/>
        </w:rPr>
      </w:pPr>
      <w:r w:rsidRPr="00DD7859">
        <w:rPr>
          <w:rFonts w:asciiTheme="minorHAnsi" w:hAnsiTheme="minorHAnsi" w:cs="Arial"/>
          <w:b/>
        </w:rPr>
        <w:t>Black, Asian and minority ethnic groups and asylum seekers.</w:t>
      </w:r>
    </w:p>
    <w:p w:rsidR="00AC0652" w:rsidP="00AC0652">
      <w:pPr>
        <w:ind w:right="81"/>
        <w:rPr>
          <w:rFonts w:cs="Arial"/>
          <w:sz w:val="24"/>
          <w:szCs w:val="24"/>
        </w:rPr>
      </w:pPr>
      <w:r w:rsidRPr="00DD7859">
        <w:rPr>
          <w:rFonts w:cs="Arial"/>
          <w:sz w:val="24"/>
          <w:szCs w:val="24"/>
        </w:rPr>
        <w:t>Several specific groups were highlighted within the national suicide prevention strategy as requiring t</w:t>
      </w:r>
      <w:r w:rsidRPr="00DD7859">
        <w:rPr>
          <w:rFonts w:cs="Arial"/>
          <w:sz w:val="24"/>
          <w:szCs w:val="24"/>
        </w:rPr>
        <w:t>ailored approaches to improve mental health. Of these specific groups, those that emerged as at particularly high risk of suicide in Lancashire were survivors of abuse or violence, people living with long-term physical health problems, people vulnerable du</w:t>
      </w:r>
      <w:r w:rsidRPr="00DD7859">
        <w:rPr>
          <w:rFonts w:cs="Arial"/>
          <w:sz w:val="24"/>
          <w:szCs w:val="24"/>
        </w:rPr>
        <w:t xml:space="preserve">e to </w:t>
      </w:r>
      <w:r w:rsidRPr="00DD7859">
        <w:rPr>
          <w:rFonts w:cs="Arial"/>
          <w:sz w:val="24"/>
          <w:szCs w:val="24"/>
        </w:rPr>
        <w:t>social and economic circumstances and people who misuse drugs or alcohol. In addition, although there were very small numbers of children and young people represented in the audit, it was noted that many of the contributory factors to suicide, such as</w:t>
      </w:r>
      <w:r w:rsidRPr="00DD7859">
        <w:rPr>
          <w:rFonts w:cs="Arial"/>
          <w:sz w:val="24"/>
          <w:szCs w:val="24"/>
        </w:rPr>
        <w:t xml:space="preserve"> sexual abuse or bereavement by suicide, had occurred during childhood and adolescence. Consequently, this group is a key focus for suicide prevention. With regards to the other groups highlighted within the nation</w:t>
      </w:r>
      <w:r>
        <w:rPr>
          <w:rFonts w:cs="Arial"/>
          <w:sz w:val="24"/>
          <w:szCs w:val="24"/>
        </w:rPr>
        <w:t>al strategy, such as LGBT people</w:t>
      </w:r>
      <w:r w:rsidRPr="00DD7859">
        <w:rPr>
          <w:rFonts w:cs="Arial"/>
          <w:sz w:val="24"/>
          <w:szCs w:val="24"/>
        </w:rPr>
        <w:t xml:space="preserve"> and veter</w:t>
      </w:r>
      <w:r w:rsidRPr="00DD7859">
        <w:rPr>
          <w:rFonts w:cs="Arial"/>
          <w:sz w:val="24"/>
          <w:szCs w:val="24"/>
        </w:rPr>
        <w:t xml:space="preserve">ans, although these are likely to represent key areas for suicide prevention nationally, there were very few individuals within these groups in the audit cohort. </w:t>
      </w:r>
    </w:p>
    <w:p w:rsidR="0012115F" w:rsidRPr="00DD7859" w:rsidP="00AC0652">
      <w:pPr>
        <w:ind w:right="81"/>
        <w:rPr>
          <w:rFonts w:cs="Arial"/>
          <w:sz w:val="24"/>
          <w:szCs w:val="24"/>
        </w:rPr>
      </w:pPr>
    </w:p>
    <w:p w:rsidR="00C73CDA" w:rsidRPr="0012115F" w:rsidP="00AC0652">
      <w:pPr>
        <w:pStyle w:val="ListParagraph"/>
        <w:numPr>
          <w:ilvl w:val="1"/>
          <w:numId w:val="3"/>
        </w:numPr>
        <w:ind w:right="81"/>
        <w:rPr>
          <w:rFonts w:asciiTheme="minorHAnsi" w:hAnsiTheme="minorHAnsi" w:cs="Arial"/>
          <w:i/>
        </w:rPr>
      </w:pPr>
      <w:r w:rsidRPr="0012115F">
        <w:rPr>
          <w:rFonts w:asciiTheme="minorHAnsi" w:hAnsiTheme="minorHAnsi" w:cs="Arial"/>
          <w:i/>
        </w:rPr>
        <w:t>Survivors of abuse or violence</w:t>
      </w:r>
    </w:p>
    <w:p w:rsidR="00AC0652" w:rsidRPr="0012115F" w:rsidP="0012115F">
      <w:pPr>
        <w:shd w:val="clear" w:color="auto" w:fill="D9D9D9"/>
        <w:ind w:right="81"/>
        <w:rPr>
          <w:rFonts w:cs="Arial"/>
          <w:sz w:val="24"/>
          <w:szCs w:val="24"/>
        </w:rPr>
      </w:pPr>
      <w:r w:rsidRPr="0012115F">
        <w:rPr>
          <w:rFonts w:cs="Arial"/>
          <w:sz w:val="24"/>
          <w:szCs w:val="24"/>
        </w:rPr>
        <w:t>Action point 12: Ensure that there is integration between the</w:t>
      </w:r>
      <w:r w:rsidRPr="0012115F">
        <w:rPr>
          <w:rFonts w:cs="Arial"/>
          <w:sz w:val="24"/>
          <w:szCs w:val="24"/>
        </w:rPr>
        <w:t xml:space="preserve"> multi-agency suicide prevention group in Lancashire and the Pan-Lancashire Strategic Domestic Abuse Board.</w:t>
      </w:r>
    </w:p>
    <w:p w:rsidR="00AC0652" w:rsidRPr="0012115F" w:rsidP="00AC0652">
      <w:pPr>
        <w:pStyle w:val="ListParagraph"/>
        <w:numPr>
          <w:ilvl w:val="1"/>
          <w:numId w:val="3"/>
        </w:numPr>
        <w:ind w:right="81"/>
        <w:rPr>
          <w:rFonts w:asciiTheme="minorHAnsi" w:hAnsiTheme="minorHAnsi" w:cs="Arial"/>
          <w:i/>
        </w:rPr>
      </w:pPr>
      <w:r w:rsidRPr="0012115F">
        <w:rPr>
          <w:rFonts w:asciiTheme="minorHAnsi" w:hAnsiTheme="minorHAnsi" w:cs="Arial"/>
          <w:i/>
        </w:rPr>
        <w:t>People with long-term physical health problems</w:t>
      </w:r>
    </w:p>
    <w:p w:rsidR="00AC0652" w:rsidRPr="0012115F" w:rsidP="00AC0652">
      <w:pPr>
        <w:shd w:val="clear" w:color="auto" w:fill="D9D9D9"/>
        <w:ind w:right="81"/>
        <w:rPr>
          <w:rFonts w:cs="Arial"/>
          <w:sz w:val="24"/>
          <w:szCs w:val="24"/>
        </w:rPr>
      </w:pPr>
      <w:r w:rsidRPr="0012115F">
        <w:rPr>
          <w:rFonts w:cs="Arial"/>
          <w:sz w:val="24"/>
          <w:szCs w:val="24"/>
        </w:rPr>
        <w:t>Action point 13: Training for primary and secondary care clinicians to recognise and manage the menta</w:t>
      </w:r>
      <w:r w:rsidRPr="0012115F">
        <w:rPr>
          <w:rFonts w:cs="Arial"/>
          <w:sz w:val="24"/>
          <w:szCs w:val="24"/>
        </w:rPr>
        <w:t>l health implications of physical illness.</w:t>
      </w:r>
    </w:p>
    <w:p w:rsidR="00AC0652" w:rsidRPr="0012115F" w:rsidP="0012115F">
      <w:pPr>
        <w:shd w:val="clear" w:color="auto" w:fill="D9D9D9"/>
        <w:ind w:right="81"/>
        <w:rPr>
          <w:rFonts w:cs="Arial"/>
          <w:sz w:val="24"/>
          <w:szCs w:val="24"/>
        </w:rPr>
      </w:pPr>
      <w:r w:rsidRPr="0012115F">
        <w:rPr>
          <w:rFonts w:cs="Arial"/>
          <w:sz w:val="24"/>
          <w:szCs w:val="24"/>
        </w:rPr>
        <w:t xml:space="preserve">Action point 14: Integrated management pathways for physical and mental health, including routine mental state assessment, self-care advice and referral to services and organisations that address social isolation </w:t>
      </w:r>
      <w:r w:rsidRPr="0012115F">
        <w:rPr>
          <w:rFonts w:cs="Arial"/>
          <w:sz w:val="24"/>
          <w:szCs w:val="24"/>
        </w:rPr>
        <w:t>as part of the regular review for chronic conditions such as osteoarthritis and respiratory disease.</w:t>
      </w:r>
    </w:p>
    <w:p w:rsidR="00AC0652" w:rsidRPr="0012115F" w:rsidP="00AC0652">
      <w:pPr>
        <w:ind w:right="81"/>
        <w:rPr>
          <w:rFonts w:cs="Arial"/>
          <w:i/>
          <w:sz w:val="24"/>
          <w:szCs w:val="24"/>
        </w:rPr>
      </w:pPr>
      <w:r w:rsidRPr="0012115F">
        <w:rPr>
          <w:rFonts w:cs="Arial"/>
          <w:i/>
          <w:sz w:val="24"/>
          <w:szCs w:val="24"/>
        </w:rPr>
        <w:t>2.3 People vulnerable due to social and economic disadvantage</w:t>
      </w:r>
    </w:p>
    <w:p w:rsidR="00AC0652" w:rsidRPr="0012115F" w:rsidP="00AC0652">
      <w:pPr>
        <w:shd w:val="clear" w:color="auto" w:fill="D9D9D9"/>
        <w:ind w:right="81"/>
        <w:rPr>
          <w:rFonts w:cs="Arial"/>
          <w:sz w:val="24"/>
          <w:szCs w:val="24"/>
        </w:rPr>
      </w:pPr>
      <w:r>
        <w:rPr>
          <w:rFonts w:cs="Arial"/>
          <w:sz w:val="24"/>
          <w:szCs w:val="24"/>
        </w:rPr>
        <w:t>Action point</w:t>
      </w:r>
      <w:r w:rsidRPr="0012115F">
        <w:rPr>
          <w:rFonts w:cs="Arial"/>
          <w:sz w:val="24"/>
          <w:szCs w:val="24"/>
        </w:rPr>
        <w:t xml:space="preserve"> 15: Form and build on existing partnerships with local organisations that work w</w:t>
      </w:r>
      <w:r w:rsidRPr="0012115F">
        <w:rPr>
          <w:rFonts w:cs="Arial"/>
          <w:sz w:val="24"/>
          <w:szCs w:val="24"/>
        </w:rPr>
        <w:t>ith deprived communities.</w:t>
      </w:r>
    </w:p>
    <w:p w:rsidR="00AC0652" w:rsidRPr="0012115F" w:rsidP="00AC0652">
      <w:pPr>
        <w:shd w:val="clear" w:color="auto" w:fill="D9D9D9"/>
        <w:ind w:right="81"/>
        <w:rPr>
          <w:rFonts w:cs="Arial"/>
          <w:sz w:val="24"/>
          <w:szCs w:val="24"/>
        </w:rPr>
      </w:pPr>
      <w:r>
        <w:rPr>
          <w:rFonts w:cs="Arial"/>
          <w:sz w:val="24"/>
          <w:szCs w:val="24"/>
        </w:rPr>
        <w:t>Action point</w:t>
      </w:r>
      <w:r w:rsidRPr="0012115F">
        <w:rPr>
          <w:rFonts w:cs="Arial"/>
          <w:sz w:val="24"/>
          <w:szCs w:val="24"/>
        </w:rPr>
        <w:t xml:space="preserve"> 16: Provide public information to signpost people to information and support if they are in debt or at risk of getting into debt, advice on maintaining wellbeing during difficult times and guidance on where to go for </w:t>
      </w:r>
      <w:r w:rsidRPr="0012115F">
        <w:rPr>
          <w:rFonts w:cs="Arial"/>
          <w:sz w:val="24"/>
          <w:szCs w:val="24"/>
        </w:rPr>
        <w:t>further help.</w:t>
      </w:r>
    </w:p>
    <w:p w:rsidR="00AC0652" w:rsidRPr="0012115F" w:rsidP="00AC0652">
      <w:pPr>
        <w:shd w:val="clear" w:color="auto" w:fill="D9D9D9"/>
        <w:ind w:right="81"/>
        <w:rPr>
          <w:rFonts w:cs="Arial"/>
          <w:sz w:val="24"/>
          <w:szCs w:val="24"/>
        </w:rPr>
      </w:pPr>
      <w:r>
        <w:rPr>
          <w:rFonts w:cs="Arial"/>
          <w:sz w:val="24"/>
          <w:szCs w:val="24"/>
        </w:rPr>
        <w:t>Action point</w:t>
      </w:r>
      <w:r w:rsidRPr="0012115F">
        <w:rPr>
          <w:rFonts w:cs="Arial"/>
          <w:sz w:val="24"/>
          <w:szCs w:val="24"/>
        </w:rPr>
        <w:t xml:space="preserve"> 17: Ensure that healthcare professionals in primary care, secondary care and mental health settings are aware of services relating to financial support and debt prevention/management to enable them to signpost patients presenting with low mood, anxiety or</w:t>
      </w:r>
      <w:r w:rsidRPr="0012115F">
        <w:rPr>
          <w:rFonts w:cs="Arial"/>
          <w:sz w:val="24"/>
          <w:szCs w:val="24"/>
        </w:rPr>
        <w:t xml:space="preserve"> suicidal thoughts as a result of financial difficulties.</w:t>
      </w:r>
    </w:p>
    <w:p w:rsidR="00AC0652" w:rsidRPr="00DD7859" w:rsidP="0012115F">
      <w:pPr>
        <w:shd w:val="clear" w:color="auto" w:fill="D9D9D9"/>
        <w:ind w:right="81"/>
        <w:rPr>
          <w:rFonts w:cs="Arial"/>
          <w:sz w:val="24"/>
          <w:szCs w:val="24"/>
        </w:rPr>
      </w:pPr>
      <w:r>
        <w:rPr>
          <w:rFonts w:cs="Arial"/>
          <w:sz w:val="24"/>
          <w:szCs w:val="24"/>
        </w:rPr>
        <w:t>Action point</w:t>
      </w:r>
      <w:r w:rsidRPr="0012115F">
        <w:rPr>
          <w:rFonts w:cs="Arial"/>
          <w:sz w:val="24"/>
          <w:szCs w:val="24"/>
        </w:rPr>
        <w:t xml:space="preserve"> 18: Training for staff in services such as housing and Welfare Rights that regularly encounter people at high-risk of suicide to manage self-harm and suicide declarations and develo</w:t>
      </w:r>
      <w:r>
        <w:rPr>
          <w:rFonts w:cs="Arial"/>
          <w:sz w:val="24"/>
          <w:szCs w:val="24"/>
        </w:rPr>
        <w:t>p fr</w:t>
      </w:r>
      <w:r>
        <w:rPr>
          <w:rFonts w:cs="Arial"/>
          <w:sz w:val="24"/>
          <w:szCs w:val="24"/>
        </w:rPr>
        <w:t xml:space="preserve">ameworks to support these. </w:t>
      </w:r>
    </w:p>
    <w:p w:rsidR="00AC0652" w:rsidRPr="0012115F" w:rsidP="00AC0652">
      <w:pPr>
        <w:ind w:right="81"/>
        <w:rPr>
          <w:rFonts w:cs="Arial"/>
          <w:i/>
          <w:sz w:val="24"/>
          <w:szCs w:val="24"/>
        </w:rPr>
      </w:pPr>
      <w:r w:rsidRPr="0012115F">
        <w:rPr>
          <w:rFonts w:cs="Arial"/>
          <w:i/>
          <w:sz w:val="24"/>
          <w:szCs w:val="24"/>
        </w:rPr>
        <w:t>2.4 People who misuse drugs or alcohol</w:t>
      </w:r>
    </w:p>
    <w:p w:rsidR="00AC0652" w:rsidRPr="0012115F" w:rsidP="00AC0652">
      <w:pPr>
        <w:shd w:val="clear" w:color="auto" w:fill="D9D9D9"/>
        <w:ind w:right="81"/>
        <w:rPr>
          <w:rFonts w:cs="Arial"/>
          <w:sz w:val="24"/>
          <w:szCs w:val="24"/>
        </w:rPr>
      </w:pPr>
      <w:r w:rsidRPr="0012115F">
        <w:rPr>
          <w:rFonts w:cs="Arial"/>
          <w:sz w:val="24"/>
          <w:szCs w:val="24"/>
        </w:rPr>
        <w:t xml:space="preserve">Action point 19: Specific consideration and mention of suicide prevention in drug and alcohol strategies in Lancashire to ensure that work on substance misuse is fully aligned with suicide </w:t>
      </w:r>
      <w:r w:rsidRPr="0012115F">
        <w:rPr>
          <w:rFonts w:cs="Arial"/>
          <w:sz w:val="24"/>
          <w:szCs w:val="24"/>
        </w:rPr>
        <w:t>prevention.</w:t>
      </w:r>
    </w:p>
    <w:p w:rsidR="00AC0652" w:rsidRPr="0012115F" w:rsidP="00AC0652">
      <w:pPr>
        <w:shd w:val="clear" w:color="auto" w:fill="D9D9D9"/>
        <w:ind w:right="81"/>
        <w:rPr>
          <w:rFonts w:cs="Arial"/>
          <w:sz w:val="24"/>
          <w:szCs w:val="24"/>
        </w:rPr>
      </w:pPr>
      <w:r w:rsidRPr="0012115F">
        <w:rPr>
          <w:rFonts w:cs="Arial"/>
          <w:sz w:val="24"/>
          <w:szCs w:val="24"/>
        </w:rPr>
        <w:t>Action point 20:</w:t>
      </w:r>
      <w:r>
        <w:rPr>
          <w:rFonts w:cs="Arial"/>
          <w:sz w:val="24"/>
          <w:szCs w:val="24"/>
        </w:rPr>
        <w:t xml:space="preserve"> J</w:t>
      </w:r>
      <w:r w:rsidRPr="0012115F">
        <w:rPr>
          <w:rFonts w:cs="Arial"/>
          <w:sz w:val="24"/>
          <w:szCs w:val="24"/>
        </w:rPr>
        <w:t xml:space="preserve">oint responsibility between substance misuse and mental </w:t>
      </w:r>
      <w:r>
        <w:rPr>
          <w:rFonts w:cs="Arial"/>
          <w:sz w:val="24"/>
          <w:szCs w:val="24"/>
        </w:rPr>
        <w:t>health services in Lancashire for</w:t>
      </w:r>
      <w:r w:rsidRPr="0012115F">
        <w:rPr>
          <w:rFonts w:cs="Arial"/>
          <w:sz w:val="24"/>
          <w:szCs w:val="24"/>
        </w:rPr>
        <w:t xml:space="preserve"> treat</w:t>
      </w:r>
      <w:r>
        <w:rPr>
          <w:rFonts w:cs="Arial"/>
          <w:sz w:val="24"/>
          <w:szCs w:val="24"/>
        </w:rPr>
        <w:t>ing</w:t>
      </w:r>
      <w:r w:rsidRPr="0012115F">
        <w:rPr>
          <w:rFonts w:cs="Arial"/>
          <w:sz w:val="24"/>
          <w:szCs w:val="24"/>
        </w:rPr>
        <w:t xml:space="preserve"> both substance misuse and other mental health conditions. </w:t>
      </w:r>
    </w:p>
    <w:p w:rsidR="00AC0652" w:rsidRPr="0012115F" w:rsidP="00AC0652">
      <w:pPr>
        <w:shd w:val="clear" w:color="auto" w:fill="D9D9D9"/>
        <w:ind w:right="81"/>
        <w:rPr>
          <w:rFonts w:cs="Arial"/>
          <w:sz w:val="24"/>
          <w:szCs w:val="24"/>
        </w:rPr>
      </w:pPr>
      <w:r w:rsidRPr="0012115F">
        <w:rPr>
          <w:rFonts w:cs="Arial"/>
          <w:sz w:val="24"/>
          <w:szCs w:val="24"/>
        </w:rPr>
        <w:t>Action point 21: Training on suicide prevention and intervention</w:t>
      </w:r>
      <w:r>
        <w:rPr>
          <w:rFonts w:cs="Arial"/>
          <w:sz w:val="24"/>
          <w:szCs w:val="24"/>
        </w:rPr>
        <w:t>s</w:t>
      </w:r>
      <w:r w:rsidRPr="0012115F">
        <w:rPr>
          <w:rFonts w:cs="Arial"/>
          <w:sz w:val="24"/>
          <w:szCs w:val="24"/>
        </w:rPr>
        <w:t xml:space="preserve"> fo</w:t>
      </w:r>
      <w:r w:rsidRPr="0012115F">
        <w:rPr>
          <w:rFonts w:cs="Arial"/>
          <w:sz w:val="24"/>
          <w:szCs w:val="24"/>
        </w:rPr>
        <w:t>r staff working in addiction services in Lancashire.</w:t>
      </w:r>
    </w:p>
    <w:p w:rsidR="00AC0652" w:rsidRPr="0012115F" w:rsidP="00AC0652">
      <w:pPr>
        <w:shd w:val="clear" w:color="auto" w:fill="D9D9D9"/>
        <w:ind w:right="81"/>
        <w:rPr>
          <w:rFonts w:cs="Arial"/>
          <w:sz w:val="24"/>
          <w:szCs w:val="24"/>
        </w:rPr>
      </w:pPr>
      <w:r w:rsidRPr="0012115F">
        <w:rPr>
          <w:rFonts w:cs="Arial"/>
          <w:sz w:val="24"/>
          <w:szCs w:val="24"/>
        </w:rPr>
        <w:t>Action point 22: Work with CCGs and hospital trusts in Lancashire to incorporate suicide risk into brief interventions for harmful drinkers.</w:t>
      </w:r>
    </w:p>
    <w:p w:rsidR="00AC0652" w:rsidRPr="00DD7859" w:rsidP="0012115F">
      <w:pPr>
        <w:shd w:val="clear" w:color="auto" w:fill="D9D9D9"/>
        <w:ind w:right="81"/>
        <w:rPr>
          <w:rFonts w:cs="Arial"/>
          <w:sz w:val="24"/>
          <w:szCs w:val="24"/>
        </w:rPr>
      </w:pPr>
      <w:r w:rsidRPr="0012115F">
        <w:rPr>
          <w:rFonts w:cs="Arial"/>
          <w:sz w:val="24"/>
          <w:szCs w:val="24"/>
        </w:rPr>
        <w:t>Action point 23: Engage people with experience of substance mi</w:t>
      </w:r>
      <w:r w:rsidRPr="0012115F">
        <w:rPr>
          <w:rFonts w:cs="Arial"/>
          <w:sz w:val="24"/>
          <w:szCs w:val="24"/>
        </w:rPr>
        <w:t>suse and self-harm or suicide attempts in service design and delivery; for example, through the Lancashire User Forum or the Recovery Infrastructure Organisation.</w:t>
      </w:r>
    </w:p>
    <w:p w:rsidR="00AC0652" w:rsidRPr="0012115F" w:rsidP="00AC0652">
      <w:pPr>
        <w:ind w:right="81"/>
        <w:rPr>
          <w:rFonts w:cs="Arial"/>
          <w:i/>
          <w:sz w:val="24"/>
          <w:szCs w:val="24"/>
        </w:rPr>
      </w:pPr>
      <w:r w:rsidRPr="0012115F">
        <w:rPr>
          <w:rFonts w:cs="Arial"/>
          <w:i/>
          <w:sz w:val="24"/>
          <w:szCs w:val="24"/>
        </w:rPr>
        <w:t>2.5 Children and young people</w:t>
      </w:r>
    </w:p>
    <w:p w:rsidR="00FD6887" w:rsidRPr="0012115F" w:rsidP="00FD6887">
      <w:pPr>
        <w:shd w:val="clear" w:color="auto" w:fill="D9D9D9"/>
        <w:ind w:right="81"/>
        <w:rPr>
          <w:rFonts w:cs="Arial"/>
          <w:sz w:val="24"/>
          <w:szCs w:val="24"/>
        </w:rPr>
      </w:pPr>
      <w:r w:rsidRPr="0012115F">
        <w:rPr>
          <w:rFonts w:cs="Arial"/>
          <w:sz w:val="24"/>
          <w:szCs w:val="24"/>
        </w:rPr>
        <w:t>Action point 24: Sustained investment and commitment to univers</w:t>
      </w:r>
      <w:r w:rsidRPr="0012115F">
        <w:rPr>
          <w:rFonts w:cs="Arial"/>
          <w:sz w:val="24"/>
          <w:szCs w:val="24"/>
        </w:rPr>
        <w:t>al children's services in Lancashire.</w:t>
      </w:r>
    </w:p>
    <w:p w:rsidR="00FD6887" w:rsidRPr="0012115F" w:rsidP="00FD6887">
      <w:pPr>
        <w:shd w:val="clear" w:color="auto" w:fill="D9D9D9"/>
        <w:ind w:right="81"/>
        <w:rPr>
          <w:rFonts w:cs="Arial"/>
          <w:sz w:val="24"/>
          <w:szCs w:val="24"/>
        </w:rPr>
      </w:pPr>
      <w:r w:rsidRPr="0012115F">
        <w:rPr>
          <w:rFonts w:cs="Arial"/>
          <w:sz w:val="24"/>
          <w:szCs w:val="24"/>
        </w:rPr>
        <w:t>Action point 25: Sustained investment and commitment to specialist children's services in Lancashire and those that work with vulnerable children, such as children's social care, CAMHS and the Lancashire County Council</w:t>
      </w:r>
      <w:r w:rsidRPr="0012115F">
        <w:rPr>
          <w:rFonts w:cs="Arial"/>
          <w:sz w:val="24"/>
          <w:szCs w:val="24"/>
        </w:rPr>
        <w:t xml:space="preserve"> </w:t>
      </w:r>
      <w:r>
        <w:rPr>
          <w:rFonts w:cs="Arial"/>
          <w:sz w:val="24"/>
          <w:szCs w:val="24"/>
        </w:rPr>
        <w:t xml:space="preserve">Children and Family </w:t>
      </w:r>
      <w:r>
        <w:rPr>
          <w:rFonts w:cs="Arial"/>
          <w:sz w:val="24"/>
          <w:szCs w:val="24"/>
        </w:rPr>
        <w:t xml:space="preserve">Wellbeing </w:t>
      </w:r>
      <w:r w:rsidRPr="0012115F">
        <w:rPr>
          <w:rFonts w:cs="Arial"/>
          <w:sz w:val="24"/>
          <w:szCs w:val="24"/>
        </w:rPr>
        <w:t xml:space="preserve"> service</w:t>
      </w:r>
      <w:r w:rsidRPr="0012115F">
        <w:rPr>
          <w:rFonts w:cs="Arial"/>
          <w:sz w:val="24"/>
          <w:szCs w:val="24"/>
        </w:rPr>
        <w:t>.</w:t>
      </w:r>
    </w:p>
    <w:p w:rsidR="00AC0652" w:rsidRPr="00DD7859" w:rsidP="00AC0652">
      <w:pPr>
        <w:ind w:right="81"/>
        <w:rPr>
          <w:rFonts w:cs="Arial"/>
          <w:b/>
          <w:sz w:val="24"/>
          <w:szCs w:val="24"/>
        </w:rPr>
      </w:pPr>
    </w:p>
    <w:p w:rsidR="00FD6887" w:rsidRPr="00DD7859" w:rsidP="00FD6887">
      <w:pPr>
        <w:pStyle w:val="ListParagraph"/>
        <w:numPr>
          <w:ilvl w:val="0"/>
          <w:numId w:val="9"/>
        </w:numPr>
        <w:ind w:right="81"/>
        <w:rPr>
          <w:rFonts w:asciiTheme="minorHAnsi" w:hAnsiTheme="minorHAnsi" w:cs="Arial"/>
          <w:b/>
        </w:rPr>
      </w:pPr>
      <w:r w:rsidRPr="00DD7859">
        <w:rPr>
          <w:rFonts w:asciiTheme="minorHAnsi" w:hAnsiTheme="minorHAnsi" w:cs="Arial"/>
          <w:b/>
        </w:rPr>
        <w:t>Reduce access to the means of suicide</w:t>
      </w:r>
    </w:p>
    <w:p w:rsidR="00FD6887" w:rsidRPr="00DD7859" w:rsidP="00FD6887">
      <w:pPr>
        <w:ind w:right="81"/>
        <w:rPr>
          <w:rFonts w:cs="Arial"/>
          <w:sz w:val="24"/>
          <w:szCs w:val="24"/>
        </w:rPr>
      </w:pPr>
      <w:r w:rsidRPr="00DD7859">
        <w:rPr>
          <w:rFonts w:cs="Arial"/>
          <w:sz w:val="24"/>
          <w:szCs w:val="24"/>
        </w:rPr>
        <w:t xml:space="preserve">Those methods of suicide most amenable to reduced access are hanging and strangulation in inpatient/criminal justice settings, self-poisoning, deaths that occur at high-risk locations and on the rail network. </w:t>
      </w:r>
    </w:p>
    <w:p w:rsidR="00FD6887" w:rsidRPr="00DD7859" w:rsidP="00FD6887">
      <w:pPr>
        <w:ind w:right="81"/>
        <w:rPr>
          <w:rFonts w:cs="Arial"/>
          <w:sz w:val="24"/>
          <w:szCs w:val="24"/>
        </w:rPr>
      </w:pPr>
      <w:r w:rsidRPr="00DD7859">
        <w:rPr>
          <w:rFonts w:cs="Arial"/>
          <w:sz w:val="24"/>
          <w:szCs w:val="24"/>
        </w:rPr>
        <w:t>There were less than five deaths by hanging or</w:t>
      </w:r>
      <w:r w:rsidRPr="00DD7859">
        <w:rPr>
          <w:rFonts w:cs="Arial"/>
          <w:sz w:val="24"/>
          <w:szCs w:val="24"/>
        </w:rPr>
        <w:t xml:space="preserve"> strangulation in inpatient/criminal justice settings in Lancashire during the</w:t>
      </w:r>
      <w:r>
        <w:rPr>
          <w:rFonts w:cs="Arial"/>
          <w:sz w:val="24"/>
          <w:szCs w:val="24"/>
        </w:rPr>
        <w:t xml:space="preserve"> suicide</w:t>
      </w:r>
      <w:r w:rsidRPr="00DD7859">
        <w:rPr>
          <w:rFonts w:cs="Arial"/>
          <w:sz w:val="24"/>
          <w:szCs w:val="24"/>
        </w:rPr>
        <w:t xml:space="preserve"> audit period, however self-poisoning was the second most common method of suicide and is a highly relevant area for action</w:t>
      </w:r>
      <w:r>
        <w:rPr>
          <w:rFonts w:cs="Arial"/>
          <w:sz w:val="24"/>
          <w:szCs w:val="24"/>
        </w:rPr>
        <w:t>, with the majority of deaths occurring as a re</w:t>
      </w:r>
      <w:r>
        <w:rPr>
          <w:rFonts w:cs="Arial"/>
          <w:sz w:val="24"/>
          <w:szCs w:val="24"/>
        </w:rPr>
        <w:t>sult of prescribed substances</w:t>
      </w:r>
      <w:r w:rsidRPr="00DD7859">
        <w:rPr>
          <w:rFonts w:cs="Arial"/>
          <w:sz w:val="24"/>
          <w:szCs w:val="24"/>
        </w:rPr>
        <w:t>. The suicides that occurred on the rail network during the audit period were spread across the county with no hotspots, however there were three public locations where more than one suicide had been completed.</w:t>
      </w:r>
    </w:p>
    <w:p w:rsidR="00FD6887" w:rsidRPr="008B194A" w:rsidP="00FD6887">
      <w:pPr>
        <w:shd w:val="clear" w:color="auto" w:fill="D9D9D9"/>
        <w:ind w:right="81"/>
        <w:rPr>
          <w:rFonts w:cs="Arial"/>
          <w:sz w:val="24"/>
          <w:szCs w:val="24"/>
        </w:rPr>
      </w:pPr>
      <w:r w:rsidRPr="008B194A">
        <w:rPr>
          <w:rFonts w:cs="Arial"/>
          <w:sz w:val="24"/>
          <w:szCs w:val="24"/>
        </w:rPr>
        <w:t>Action point 26:</w:t>
      </w:r>
      <w:r w:rsidRPr="008B194A">
        <w:rPr>
          <w:rFonts w:cs="Arial"/>
          <w:sz w:val="24"/>
          <w:szCs w:val="24"/>
        </w:rPr>
        <w:t xml:space="preserve"> Training of GPs in Lancashire regarding safe prescribing of analgesia and antidepressants, particularly at times of high risk.</w:t>
      </w:r>
    </w:p>
    <w:p w:rsidR="00FD6887" w:rsidRPr="008B194A" w:rsidP="00FD6887">
      <w:pPr>
        <w:shd w:val="clear" w:color="auto" w:fill="D9D9D9"/>
        <w:ind w:right="81"/>
        <w:rPr>
          <w:rFonts w:cs="Arial"/>
          <w:sz w:val="24"/>
          <w:szCs w:val="24"/>
        </w:rPr>
      </w:pPr>
      <w:r w:rsidRPr="008B194A">
        <w:rPr>
          <w:rFonts w:cs="Arial"/>
          <w:sz w:val="24"/>
          <w:szCs w:val="24"/>
        </w:rPr>
        <w:t xml:space="preserve">Action point 27: Work with GPs and pharmacists in Lancashire to ensure that there are effective medicines management strategies </w:t>
      </w:r>
      <w:r w:rsidRPr="008B194A">
        <w:rPr>
          <w:rFonts w:cs="Arial"/>
          <w:sz w:val="24"/>
          <w:szCs w:val="24"/>
        </w:rPr>
        <w:t>to highlight non-compliance and diversion of medications.</w:t>
      </w:r>
    </w:p>
    <w:p w:rsidR="00FD6887" w:rsidRPr="008B194A" w:rsidP="00FD6887">
      <w:pPr>
        <w:shd w:val="clear" w:color="auto" w:fill="D9D9D9"/>
        <w:ind w:right="81"/>
        <w:rPr>
          <w:rFonts w:cs="Arial"/>
          <w:sz w:val="24"/>
          <w:szCs w:val="24"/>
        </w:rPr>
      </w:pPr>
      <w:r w:rsidRPr="008B194A">
        <w:rPr>
          <w:rFonts w:cs="Arial"/>
          <w:sz w:val="24"/>
          <w:szCs w:val="24"/>
        </w:rPr>
        <w:t>Action point 28: Engagement of the Lancashire Medicines Management Group to support safe prescribing of analgesia and antidepressants in Lancashire.</w:t>
      </w:r>
    </w:p>
    <w:p w:rsidR="00FD6887" w:rsidRPr="008B194A" w:rsidP="00FD6887">
      <w:pPr>
        <w:shd w:val="clear" w:color="auto" w:fill="D9D9D9"/>
        <w:ind w:right="81"/>
        <w:rPr>
          <w:rFonts w:cs="Arial"/>
          <w:sz w:val="24"/>
          <w:szCs w:val="24"/>
        </w:rPr>
      </w:pPr>
      <w:r w:rsidRPr="008B194A">
        <w:rPr>
          <w:rFonts w:cs="Arial"/>
          <w:sz w:val="24"/>
          <w:szCs w:val="24"/>
        </w:rPr>
        <w:t>Action point 29: Where individuals disclose suici</w:t>
      </w:r>
      <w:r w:rsidRPr="008B194A">
        <w:rPr>
          <w:rFonts w:cs="Arial"/>
          <w:sz w:val="24"/>
          <w:szCs w:val="24"/>
        </w:rPr>
        <w:t xml:space="preserve">dal thoughts, risk assessment should include assessment of the means of suicide and attempts to remove and relinquish the means; for example, medication review. </w:t>
      </w:r>
    </w:p>
    <w:p w:rsidR="00FD6887" w:rsidRPr="00DD7859" w:rsidP="00330239">
      <w:pPr>
        <w:shd w:val="clear" w:color="auto" w:fill="D9D9D9"/>
        <w:ind w:right="81"/>
        <w:rPr>
          <w:rFonts w:cs="Arial"/>
          <w:sz w:val="24"/>
          <w:szCs w:val="24"/>
        </w:rPr>
      </w:pPr>
      <w:r w:rsidRPr="008B194A">
        <w:rPr>
          <w:rFonts w:cs="Arial"/>
          <w:sz w:val="24"/>
          <w:szCs w:val="24"/>
        </w:rPr>
        <w:t>Action point 30: Lancashire multi-agency suicide group to review interventions in place at sui</w:t>
      </w:r>
      <w:r w:rsidRPr="008B194A">
        <w:rPr>
          <w:rFonts w:cs="Arial"/>
          <w:sz w:val="24"/>
          <w:szCs w:val="24"/>
        </w:rPr>
        <w:t>cide hotspots in Lancashire.</w:t>
      </w:r>
    </w:p>
    <w:p w:rsidR="00FD6887" w:rsidRPr="00DD7859" w:rsidP="00654A5C">
      <w:pPr>
        <w:pStyle w:val="ListParagraph"/>
        <w:numPr>
          <w:ilvl w:val="0"/>
          <w:numId w:val="9"/>
        </w:numPr>
        <w:ind w:right="81"/>
        <w:rPr>
          <w:rFonts w:asciiTheme="minorHAnsi" w:hAnsiTheme="minorHAnsi" w:cs="Arial"/>
          <w:b/>
        </w:rPr>
      </w:pPr>
      <w:r w:rsidRPr="00DD7859">
        <w:rPr>
          <w:rFonts w:asciiTheme="minorHAnsi" w:hAnsiTheme="minorHAnsi" w:cs="Arial"/>
          <w:b/>
        </w:rPr>
        <w:t>Provide better information and support to those bereaved or affected by suicide</w:t>
      </w:r>
    </w:p>
    <w:p w:rsidR="00654A5C" w:rsidRPr="00DD7859" w:rsidP="00654A5C">
      <w:pPr>
        <w:ind w:right="81"/>
        <w:rPr>
          <w:rFonts w:cs="Arial"/>
          <w:sz w:val="24"/>
          <w:szCs w:val="24"/>
        </w:rPr>
      </w:pPr>
      <w:r w:rsidRPr="00DD7859">
        <w:rPr>
          <w:rFonts w:cs="Arial"/>
          <w:sz w:val="24"/>
          <w:szCs w:val="24"/>
        </w:rPr>
        <w:t>Bereavement is known to be a risk factor for suicide and this risk is increased where people have been bereaved by suicide</w:t>
      </w:r>
      <w:r w:rsidRPr="00DD7859">
        <w:rPr>
          <w:rFonts w:cs="Arial"/>
          <w:sz w:val="24"/>
          <w:szCs w:val="24"/>
        </w:rPr>
        <w:fldChar w:fldCharType="begin"/>
      </w:r>
      <w:r w:rsidRPr="00DD7859">
        <w:rPr>
          <w:rFonts w:cs="Arial"/>
          <w:sz w:val="24"/>
          <w:szCs w:val="24"/>
        </w:rPr>
        <w:instrText>ADDIN RW.CITE{{805 Pitman</w:instrText>
      </w:r>
      <w:r w:rsidRPr="00DD7859">
        <w:rPr>
          <w:rFonts w:cs="Arial"/>
          <w:sz w:val="24"/>
          <w:szCs w:val="24"/>
        </w:rPr>
        <w:instrText>,A.L. 2016}}</w:instrText>
      </w:r>
      <w:r w:rsidRPr="00DD7859">
        <w:rPr>
          <w:rFonts w:cs="Arial"/>
          <w:sz w:val="24"/>
          <w:szCs w:val="24"/>
        </w:rPr>
        <w:fldChar w:fldCharType="separate"/>
      </w:r>
      <w:r>
        <w:rPr>
          <w:rFonts w:eastAsia="Times New Roman" w:cs="Arial"/>
          <w:sz w:val="24"/>
          <w:szCs w:val="24"/>
        </w:rPr>
        <w:t>(14</w:t>
      </w:r>
      <w:r w:rsidRPr="00DD7859">
        <w:rPr>
          <w:rFonts w:eastAsia="Times New Roman" w:cs="Arial"/>
          <w:sz w:val="24"/>
          <w:szCs w:val="24"/>
        </w:rPr>
        <w:t>)</w:t>
      </w:r>
      <w:r w:rsidRPr="00DD7859">
        <w:rPr>
          <w:rFonts w:cs="Arial"/>
          <w:sz w:val="24"/>
          <w:szCs w:val="24"/>
        </w:rPr>
        <w:fldChar w:fldCharType="end"/>
      </w:r>
      <w:r w:rsidRPr="00DD7859">
        <w:rPr>
          <w:rFonts w:cs="Arial"/>
          <w:sz w:val="24"/>
          <w:szCs w:val="24"/>
        </w:rPr>
        <w:t>. Of those completing suicide during the audit period in Lancashire, several had a recorded history of suicide in a close family member.</w:t>
      </w:r>
    </w:p>
    <w:p w:rsidR="00654A5C" w:rsidRPr="008B194A" w:rsidP="00654A5C">
      <w:pPr>
        <w:shd w:val="clear" w:color="auto" w:fill="D9D9D9"/>
        <w:ind w:right="81"/>
        <w:rPr>
          <w:rFonts w:cs="Arial"/>
          <w:sz w:val="24"/>
          <w:szCs w:val="24"/>
        </w:rPr>
      </w:pPr>
      <w:r w:rsidRPr="008B194A">
        <w:rPr>
          <w:rFonts w:cs="Arial"/>
          <w:sz w:val="24"/>
          <w:szCs w:val="24"/>
        </w:rPr>
        <w:t xml:space="preserve">Action point 31: To work with existing support organisations, for example </w:t>
      </w:r>
      <w:r>
        <w:rPr>
          <w:rFonts w:cs="Arial"/>
          <w:sz w:val="24"/>
          <w:szCs w:val="24"/>
        </w:rPr>
        <w:t>'</w:t>
      </w:r>
      <w:r w:rsidRPr="008B194A">
        <w:rPr>
          <w:rFonts w:cs="Arial"/>
          <w:sz w:val="24"/>
          <w:szCs w:val="24"/>
        </w:rPr>
        <w:t xml:space="preserve">Survivors of Bereavement </w:t>
      </w:r>
      <w:r w:rsidRPr="008B194A">
        <w:rPr>
          <w:rFonts w:cs="Arial"/>
          <w:sz w:val="24"/>
          <w:szCs w:val="24"/>
        </w:rPr>
        <w:t>by Suicide</w:t>
      </w:r>
      <w:r>
        <w:rPr>
          <w:rFonts w:cs="Arial"/>
          <w:sz w:val="24"/>
          <w:szCs w:val="24"/>
        </w:rPr>
        <w:t>'</w:t>
      </w:r>
      <w:r w:rsidRPr="008B194A">
        <w:rPr>
          <w:rFonts w:cs="Arial"/>
          <w:sz w:val="24"/>
          <w:szCs w:val="24"/>
        </w:rPr>
        <w:t>, to offer support to Lancashire residents affected by suicide vi</w:t>
      </w:r>
      <w:r>
        <w:rPr>
          <w:rFonts w:cs="Arial"/>
          <w:sz w:val="24"/>
          <w:szCs w:val="24"/>
        </w:rPr>
        <w:t>a existing groups and</w:t>
      </w:r>
      <w:r w:rsidRPr="008B194A">
        <w:rPr>
          <w:rFonts w:cs="Arial"/>
          <w:sz w:val="24"/>
          <w:szCs w:val="24"/>
        </w:rPr>
        <w:t xml:space="preserve"> new support networks to ensure that there is specialist suicide bereavement support available across the county.</w:t>
      </w:r>
    </w:p>
    <w:p w:rsidR="00654A5C" w:rsidRPr="008B194A" w:rsidP="00654A5C">
      <w:pPr>
        <w:shd w:val="clear" w:color="auto" w:fill="D9D9D9"/>
        <w:ind w:right="81"/>
        <w:rPr>
          <w:rFonts w:cs="Arial"/>
          <w:sz w:val="24"/>
          <w:szCs w:val="24"/>
        </w:rPr>
      </w:pPr>
      <w:r w:rsidRPr="008B194A">
        <w:rPr>
          <w:rFonts w:cs="Arial"/>
          <w:sz w:val="24"/>
          <w:szCs w:val="24"/>
        </w:rPr>
        <w:t xml:space="preserve">Action point 32: To develop routine pathways </w:t>
      </w:r>
      <w:r w:rsidRPr="008B194A">
        <w:rPr>
          <w:rFonts w:cs="Arial"/>
          <w:sz w:val="24"/>
          <w:szCs w:val="24"/>
        </w:rPr>
        <w:t>and information packs for all families bereaved by suicide that could be disseminated via GPs or the relevant coroner's office.</w:t>
      </w:r>
    </w:p>
    <w:p w:rsidR="008B194A" w:rsidRPr="008B194A" w:rsidP="008B194A">
      <w:pPr>
        <w:ind w:right="81"/>
        <w:rPr>
          <w:rFonts w:cs="Arial"/>
          <w:b/>
        </w:rPr>
      </w:pPr>
    </w:p>
    <w:p w:rsidR="00654A5C" w:rsidRPr="00DD7859" w:rsidP="00DD7859">
      <w:pPr>
        <w:pStyle w:val="ListParagraph"/>
        <w:numPr>
          <w:ilvl w:val="0"/>
          <w:numId w:val="9"/>
        </w:numPr>
        <w:ind w:right="81"/>
        <w:rPr>
          <w:rFonts w:asciiTheme="minorHAnsi" w:hAnsiTheme="minorHAnsi" w:cs="Arial"/>
          <w:b/>
        </w:rPr>
      </w:pPr>
      <w:r w:rsidRPr="00DD7859">
        <w:rPr>
          <w:rFonts w:asciiTheme="minorHAnsi" w:hAnsiTheme="minorHAnsi" w:cs="Arial"/>
          <w:b/>
        </w:rPr>
        <w:t>Support the media in delivering sensitive approaches to suicide and suicidal behaviour</w:t>
      </w:r>
    </w:p>
    <w:p w:rsidR="00DD7859" w:rsidRPr="00DD7859" w:rsidP="00DD7859">
      <w:pPr>
        <w:ind w:right="81"/>
        <w:rPr>
          <w:rFonts w:cs="Arial"/>
          <w:sz w:val="24"/>
          <w:szCs w:val="24"/>
        </w:rPr>
      </w:pPr>
      <w:r w:rsidRPr="00DD7859">
        <w:rPr>
          <w:rFonts w:cs="Arial"/>
          <w:sz w:val="24"/>
          <w:szCs w:val="24"/>
        </w:rPr>
        <w:t xml:space="preserve">The media has an important role to play </w:t>
      </w:r>
      <w:r w:rsidRPr="00DD7859">
        <w:rPr>
          <w:rFonts w:cs="Arial"/>
          <w:sz w:val="24"/>
          <w:szCs w:val="24"/>
        </w:rPr>
        <w:t>in influencing suicidal behaviour. Where there is a high profile death, media reporting can result in imitative behaviour, particularly at suicide hotspots and clusters of suicides. In addition, internet content promoting suicide, detailing effective metho</w:t>
      </w:r>
      <w:r w:rsidRPr="00DD7859">
        <w:rPr>
          <w:rFonts w:cs="Arial"/>
          <w:sz w:val="24"/>
          <w:szCs w:val="24"/>
        </w:rPr>
        <w:t>ds of suicide or making available the means of suicide can influence peoples' decision to attempt suicide and the effectiveness of their attempts. This is a recognised offence and individuals can be prosecuted</w:t>
      </w:r>
      <w:r w:rsidRPr="00DD7859">
        <w:rPr>
          <w:rFonts w:cs="Arial"/>
          <w:sz w:val="24"/>
          <w:szCs w:val="24"/>
        </w:rPr>
        <w:fldChar w:fldCharType="begin"/>
      </w:r>
      <w:r w:rsidRPr="00DD7859">
        <w:rPr>
          <w:rFonts w:cs="Arial"/>
          <w:sz w:val="24"/>
          <w:szCs w:val="24"/>
        </w:rPr>
        <w:instrText>ADDIN RW.CITE{{772 HM Government 10 September 2</w:instrText>
      </w:r>
      <w:r w:rsidRPr="00DD7859">
        <w:rPr>
          <w:rFonts w:cs="Arial"/>
          <w:sz w:val="24"/>
          <w:szCs w:val="24"/>
        </w:rPr>
        <w:instrText>012}}</w:instrText>
      </w:r>
      <w:r w:rsidRPr="00DD7859">
        <w:rPr>
          <w:rFonts w:cs="Arial"/>
          <w:sz w:val="24"/>
          <w:szCs w:val="24"/>
        </w:rPr>
        <w:fldChar w:fldCharType="separate"/>
      </w:r>
      <w:r w:rsidRPr="00DD7859">
        <w:rPr>
          <w:rFonts w:eastAsia="Times New Roman" w:cs="Arial"/>
          <w:sz w:val="24"/>
          <w:szCs w:val="24"/>
        </w:rPr>
        <w:t>(2)</w:t>
      </w:r>
      <w:r w:rsidRPr="00DD7859">
        <w:rPr>
          <w:rFonts w:cs="Arial"/>
          <w:sz w:val="24"/>
          <w:szCs w:val="24"/>
        </w:rPr>
        <w:fldChar w:fldCharType="end"/>
      </w:r>
      <w:r w:rsidRPr="00DD7859">
        <w:rPr>
          <w:rFonts w:cs="Arial"/>
          <w:sz w:val="24"/>
          <w:szCs w:val="24"/>
        </w:rPr>
        <w:t>. Internet content had played a role amongst seven people within the audit cohort and is especially relevant to suicides amongst young people.</w:t>
      </w:r>
    </w:p>
    <w:p w:rsidR="00DD7859" w:rsidRPr="008B194A" w:rsidP="00DD7859">
      <w:pPr>
        <w:shd w:val="clear" w:color="auto" w:fill="D9D9D9"/>
        <w:ind w:right="81"/>
        <w:rPr>
          <w:rFonts w:cs="Arial"/>
          <w:sz w:val="24"/>
          <w:szCs w:val="24"/>
        </w:rPr>
      </w:pPr>
      <w:r w:rsidRPr="008B194A">
        <w:rPr>
          <w:rFonts w:cs="Arial"/>
          <w:sz w:val="24"/>
          <w:szCs w:val="24"/>
        </w:rPr>
        <w:t>Action point</w:t>
      </w:r>
      <w:r w:rsidRPr="008B194A">
        <w:rPr>
          <w:rFonts w:cs="Arial"/>
          <w:sz w:val="24"/>
          <w:szCs w:val="24"/>
        </w:rPr>
        <w:t xml:space="preserve"> 33: Where internet content is identified as being a factor in the suicide, either by the police or during the Coroner's investigation, Lancashire Constabulary should support the internet industry to remove the content.</w:t>
      </w:r>
    </w:p>
    <w:p w:rsidR="00DD7859" w:rsidRPr="008B194A" w:rsidP="00DD7859">
      <w:pPr>
        <w:shd w:val="clear" w:color="auto" w:fill="D9D9D9"/>
        <w:ind w:right="81"/>
        <w:rPr>
          <w:rFonts w:cs="Arial"/>
          <w:sz w:val="24"/>
          <w:szCs w:val="24"/>
        </w:rPr>
      </w:pPr>
      <w:r w:rsidRPr="008B194A">
        <w:rPr>
          <w:rFonts w:cs="Arial"/>
          <w:sz w:val="24"/>
          <w:szCs w:val="24"/>
        </w:rPr>
        <w:t>Action point 34: Where websites, inc</w:t>
      </w:r>
      <w:r w:rsidRPr="008B194A">
        <w:rPr>
          <w:rFonts w:cs="Arial"/>
          <w:sz w:val="24"/>
          <w:szCs w:val="24"/>
        </w:rPr>
        <w:t>luding people in online chat rooms and social networks, are found to be persistently promoting suicide or suicide methods, Lancashire Constabulary should seek prosecutions.</w:t>
      </w:r>
    </w:p>
    <w:p w:rsidR="00DD7859" w:rsidRPr="008B194A" w:rsidP="00DD7859">
      <w:pPr>
        <w:shd w:val="clear" w:color="auto" w:fill="D9D9D9"/>
        <w:ind w:right="81"/>
        <w:rPr>
          <w:rFonts w:cs="Arial"/>
          <w:sz w:val="24"/>
          <w:szCs w:val="24"/>
        </w:rPr>
      </w:pPr>
      <w:r w:rsidRPr="008B194A">
        <w:rPr>
          <w:rFonts w:cs="Arial"/>
          <w:sz w:val="24"/>
          <w:szCs w:val="24"/>
        </w:rPr>
        <w:t xml:space="preserve">Action point 35: To improve and develop the suicide component of Lancashire County </w:t>
      </w:r>
      <w:r w:rsidRPr="008B194A">
        <w:rPr>
          <w:rFonts w:cs="Arial"/>
          <w:sz w:val="24"/>
          <w:szCs w:val="24"/>
        </w:rPr>
        <w:t>Council's website as a reliable source of support and resources, linking to third party websites where appropriate.</w:t>
      </w:r>
    </w:p>
    <w:p w:rsidR="008B194A" w:rsidRPr="00BE3837" w:rsidP="00BE3837">
      <w:pPr>
        <w:shd w:val="clear" w:color="auto" w:fill="D9D9D9"/>
        <w:ind w:right="81"/>
        <w:rPr>
          <w:rFonts w:cs="Arial"/>
          <w:sz w:val="24"/>
          <w:szCs w:val="24"/>
        </w:rPr>
      </w:pPr>
      <w:r w:rsidRPr="008B194A">
        <w:rPr>
          <w:rFonts w:cs="Arial"/>
          <w:sz w:val="24"/>
          <w:szCs w:val="24"/>
        </w:rPr>
        <w:t>Action point 36: The multi-agency suicide prevention group should proactively engage the local media to develop a standard for reporting sui</w:t>
      </w:r>
      <w:r w:rsidRPr="008B194A">
        <w:rPr>
          <w:rFonts w:cs="Arial"/>
          <w:sz w:val="24"/>
          <w:szCs w:val="24"/>
        </w:rPr>
        <w:t>cides responsibly.</w:t>
      </w:r>
    </w:p>
    <w:p w:rsidR="00330239" w:rsidRPr="00330239" w:rsidP="00330239">
      <w:pPr>
        <w:ind w:right="81"/>
        <w:rPr>
          <w:rFonts w:cs="Arial"/>
          <w:b/>
        </w:rPr>
      </w:pPr>
    </w:p>
    <w:p w:rsidR="00DD7859" w:rsidP="00DD7859">
      <w:pPr>
        <w:pStyle w:val="ListParagraph"/>
        <w:numPr>
          <w:ilvl w:val="0"/>
          <w:numId w:val="9"/>
        </w:numPr>
        <w:ind w:right="81"/>
        <w:rPr>
          <w:rFonts w:asciiTheme="minorHAnsi" w:hAnsiTheme="minorHAnsi" w:cs="Arial"/>
          <w:b/>
        </w:rPr>
      </w:pPr>
      <w:r>
        <w:rPr>
          <w:rFonts w:asciiTheme="minorHAnsi" w:hAnsiTheme="minorHAnsi" w:cs="Arial"/>
          <w:b/>
        </w:rPr>
        <w:t>R</w:t>
      </w:r>
      <w:r w:rsidRPr="00DD7859">
        <w:rPr>
          <w:rFonts w:asciiTheme="minorHAnsi" w:hAnsiTheme="minorHAnsi" w:cs="Arial"/>
          <w:b/>
        </w:rPr>
        <w:t>esearch, data collection and monitoring</w:t>
      </w:r>
    </w:p>
    <w:p w:rsidR="00684E6A" w:rsidRPr="003D3D30" w:rsidP="00684E6A">
      <w:pPr>
        <w:ind w:right="81"/>
        <w:rPr>
          <w:rFonts w:cs="Arial"/>
          <w:sz w:val="24"/>
        </w:rPr>
      </w:pPr>
      <w:r w:rsidRPr="003D3D30">
        <w:rPr>
          <w:rFonts w:cs="Arial"/>
          <w:sz w:val="24"/>
        </w:rPr>
        <w:t>Robust and reliable research, data collection and monitoring are crucial when developing any meaningful suicide prevention strategy. Al</w:t>
      </w:r>
      <w:r>
        <w:rPr>
          <w:rFonts w:cs="Arial"/>
          <w:sz w:val="24"/>
        </w:rPr>
        <w:t>though suicide audit enables in-</w:t>
      </w:r>
      <w:r w:rsidRPr="003D3D30">
        <w:rPr>
          <w:rFonts w:cs="Arial"/>
          <w:sz w:val="24"/>
        </w:rPr>
        <w:t>depth exploration of each de</w:t>
      </w:r>
      <w:r w:rsidRPr="003D3D30">
        <w:rPr>
          <w:rFonts w:cs="Arial"/>
          <w:sz w:val="24"/>
        </w:rPr>
        <w:t xml:space="preserve">pth, there was a delay of months and in some cases years between the death occurring and the process of suicide audit. Real-time surveillance enables the multi-agency group to rapidly implement interventions in response to cases of suicide or </w:t>
      </w:r>
      <w:r w:rsidRPr="003D3D30">
        <w:rPr>
          <w:rFonts w:cs="Arial"/>
          <w:sz w:val="24"/>
        </w:rPr>
        <w:t>self-harm; fo</w:t>
      </w:r>
      <w:r w:rsidRPr="003D3D30">
        <w:rPr>
          <w:rFonts w:cs="Arial"/>
          <w:sz w:val="24"/>
        </w:rPr>
        <w:t xml:space="preserve">r example, to respond to clusters in suicide hotspots, to become aware of new methods of suicide and ensure that support is provided to the bereaved. </w:t>
      </w:r>
    </w:p>
    <w:p w:rsidR="00DD7859" w:rsidP="00E04984">
      <w:pPr>
        <w:shd w:val="clear" w:color="auto" w:fill="D9D9D9"/>
        <w:ind w:right="81"/>
        <w:rPr>
          <w:rFonts w:cs="Arial"/>
          <w:sz w:val="24"/>
          <w:szCs w:val="24"/>
        </w:rPr>
      </w:pPr>
      <w:r w:rsidRPr="00684E6A">
        <w:rPr>
          <w:rFonts w:cs="Arial"/>
          <w:sz w:val="24"/>
          <w:szCs w:val="24"/>
        </w:rPr>
        <w:t xml:space="preserve">Action point 37: Local multi-agency suicide prevention group to explore with the Lancashire coroners the </w:t>
      </w:r>
      <w:r w:rsidRPr="00684E6A">
        <w:rPr>
          <w:rFonts w:cs="Arial"/>
          <w:sz w:val="24"/>
          <w:szCs w:val="24"/>
        </w:rPr>
        <w:t>possibility and practicality of establishing real-time suicide surveillance in Lancashire.</w:t>
      </w:r>
    </w:p>
    <w:p w:rsidR="00BE3837" w:rsidP="00E04984">
      <w:pPr>
        <w:shd w:val="clear" w:color="auto" w:fill="D9D9D9"/>
        <w:ind w:right="81"/>
        <w:rPr>
          <w:rFonts w:cs="Arial"/>
          <w:sz w:val="24"/>
          <w:szCs w:val="24"/>
        </w:rPr>
      </w:pPr>
      <w:r>
        <w:rPr>
          <w:rFonts w:cs="Arial"/>
          <w:sz w:val="24"/>
          <w:szCs w:val="24"/>
        </w:rPr>
        <w:t>Action point 38: Local multi-agency group to explore the possibility and practicalities of real-time self-harm surveillance in Lancashire.</w:t>
      </w:r>
    </w:p>
    <w:p w:rsidR="00661E5A" w:rsidP="00E04984">
      <w:pPr>
        <w:shd w:val="clear" w:color="auto" w:fill="D9D9D9"/>
        <w:ind w:right="81"/>
        <w:rPr>
          <w:rFonts w:cs="Arial"/>
          <w:sz w:val="24"/>
          <w:szCs w:val="24"/>
        </w:rPr>
      </w:pPr>
      <w:r>
        <w:rPr>
          <w:rFonts w:cs="Arial"/>
          <w:sz w:val="24"/>
          <w:szCs w:val="24"/>
        </w:rPr>
        <w:t>Action point 39: If future</w:t>
      </w:r>
      <w:r>
        <w:rPr>
          <w:rFonts w:cs="Arial"/>
          <w:sz w:val="24"/>
          <w:szCs w:val="24"/>
        </w:rPr>
        <w:t xml:space="preserve"> suicide audits are carried out in Lancashire, an adapted suicide audit proforma should be adopted that has been standardised with other local authorities within the Lancashire and South Cumbria STP footprint in order to improve data collection and compari</w:t>
      </w:r>
      <w:r>
        <w:rPr>
          <w:rFonts w:cs="Arial"/>
          <w:sz w:val="24"/>
          <w:szCs w:val="24"/>
        </w:rPr>
        <w:t>bility.</w:t>
      </w:r>
    </w:p>
    <w:p w:rsidR="0024223D" w:rsidRPr="00684E6A" w:rsidP="00E04984">
      <w:pPr>
        <w:shd w:val="clear" w:color="auto" w:fill="D9D9D9"/>
        <w:ind w:right="81"/>
        <w:rPr>
          <w:rFonts w:cs="Arial"/>
          <w:sz w:val="24"/>
          <w:szCs w:val="24"/>
        </w:rPr>
      </w:pPr>
      <w:r>
        <w:rPr>
          <w:rFonts w:cs="Arial"/>
          <w:sz w:val="24"/>
          <w:szCs w:val="24"/>
        </w:rPr>
        <w:t>Action point 40: Engage people affected by suicide and staff working in mental health services to inform deeper aspects of suicide prevention.</w:t>
      </w:r>
    </w:p>
    <w:p w:rsidR="00DD7859" w:rsidRPr="00DD7859" w:rsidP="00DD7859">
      <w:pPr>
        <w:ind w:right="81"/>
        <w:rPr>
          <w:rFonts w:cs="Arial"/>
          <w:b/>
          <w:i/>
        </w:rPr>
      </w:pPr>
    </w:p>
    <w:p w:rsidR="00DD7859" w:rsidRPr="00DD7859" w:rsidP="00DD7859">
      <w:pPr>
        <w:pStyle w:val="ListParagraph"/>
        <w:ind w:left="0" w:right="81"/>
        <w:rPr>
          <w:rFonts w:cs="Arial"/>
          <w:b/>
        </w:rPr>
      </w:pPr>
    </w:p>
    <w:p w:rsidR="00042B1D" w:rsidRPr="00654A5C" w:rsidP="00C12ED9">
      <w:pPr>
        <w:pStyle w:val="ListParagraph"/>
        <w:numPr>
          <w:ilvl w:val="0"/>
          <w:numId w:val="9"/>
        </w:numPr>
        <w:ind w:right="81"/>
        <w:rPr>
          <w:rFonts w:cs="Arial"/>
          <w:sz w:val="2"/>
          <w:szCs w:val="2"/>
        </w:rPr>
      </w:pPr>
    </w:p>
    <w:p w:rsidR="00C12ED9" w:rsidRPr="00834B9E" w:rsidP="00C12ED9">
      <w:pPr>
        <w:rPr>
          <w:rFonts w:cs="Arial"/>
          <w:b/>
          <w:sz w:val="24"/>
          <w:u w:val="single"/>
        </w:rPr>
      </w:pPr>
      <w:r w:rsidRPr="00834B9E">
        <w:rPr>
          <w:rFonts w:cs="Arial"/>
          <w:b/>
          <w:sz w:val="24"/>
          <w:u w:val="single"/>
        </w:rPr>
        <w:t>Monitoring progress</w:t>
      </w:r>
    </w:p>
    <w:p w:rsidR="00C12ED9" w:rsidP="00C2208C">
      <w:pPr>
        <w:rPr>
          <w:rFonts w:cs="Arial"/>
          <w:sz w:val="24"/>
        </w:rPr>
      </w:pPr>
      <w:r>
        <w:rPr>
          <w:rFonts w:cs="Arial"/>
          <w:sz w:val="24"/>
        </w:rPr>
        <w:t>Monitoring progress</w:t>
      </w:r>
      <w:r>
        <w:rPr>
          <w:rFonts w:cs="Arial"/>
          <w:sz w:val="24"/>
        </w:rPr>
        <w:t xml:space="preserve"> against this strategy</w:t>
      </w:r>
      <w:r>
        <w:rPr>
          <w:rFonts w:cs="Arial"/>
          <w:sz w:val="24"/>
        </w:rPr>
        <w:t xml:space="preserve">, including </w:t>
      </w:r>
      <w:r>
        <w:rPr>
          <w:rFonts w:cs="Arial"/>
          <w:sz w:val="24"/>
        </w:rPr>
        <w:t xml:space="preserve">yearly reports against the </w:t>
      </w:r>
      <w:r>
        <w:rPr>
          <w:rFonts w:cs="Arial"/>
          <w:sz w:val="24"/>
        </w:rPr>
        <w:t>strategy</w:t>
      </w:r>
      <w:r>
        <w:rPr>
          <w:rFonts w:cs="Arial"/>
          <w:sz w:val="24"/>
        </w:rPr>
        <w:t>is</w:t>
      </w:r>
      <w:r>
        <w:rPr>
          <w:rFonts w:cs="Arial"/>
          <w:sz w:val="24"/>
        </w:rPr>
        <w:t xml:space="preserve"> planned across Lancashire and South Cumbria</w:t>
      </w:r>
      <w:r>
        <w:rPr>
          <w:rFonts w:cs="Arial"/>
          <w:sz w:val="24"/>
        </w:rPr>
        <w:t xml:space="preserve"> STP footprint</w:t>
      </w:r>
      <w:r>
        <w:rPr>
          <w:rFonts w:cs="Arial"/>
          <w:sz w:val="24"/>
        </w:rPr>
        <w:t>. In 2021 the strategy will be formally e</w:t>
      </w:r>
      <w:r>
        <w:rPr>
          <w:rFonts w:cs="Arial"/>
          <w:sz w:val="24"/>
        </w:rPr>
        <w:t>valuated and progress in terms of the 10% reduction target will be assessed.</w:t>
      </w:r>
    </w:p>
    <w:p w:rsidR="004C26EF" w:rsidP="00C2208C">
      <w:pPr>
        <w:rPr>
          <w:rFonts w:cs="Arial"/>
          <w:sz w:val="24"/>
        </w:rPr>
      </w:pPr>
    </w:p>
    <w:p w:rsidR="004C26EF" w:rsidP="00C2208C">
      <w:pPr>
        <w:rPr>
          <w:rFonts w:cs="Arial"/>
          <w:b/>
          <w:sz w:val="24"/>
          <w:u w:val="single"/>
        </w:rPr>
      </w:pPr>
      <w:r>
        <w:rPr>
          <w:rFonts w:cs="Arial"/>
          <w:b/>
          <w:sz w:val="24"/>
          <w:u w:val="single"/>
        </w:rPr>
        <w:t>References</w:t>
      </w:r>
    </w:p>
    <w:p w:rsidR="007B4C3E" w:rsidRPr="007B4C3E" w:rsidP="007B4C3E">
      <w:pPr>
        <w:pStyle w:val="NormalWeb"/>
        <w:numPr>
          <w:ilvl w:val="0"/>
          <w:numId w:val="12"/>
        </w:numPr>
        <w:rPr>
          <w:rFonts w:asciiTheme="minorHAnsi" w:hAnsiTheme="minorHAnsi" w:cs="Arial"/>
          <w:szCs w:val="22"/>
        </w:rPr>
      </w:pPr>
      <w:r w:rsidRPr="007B4C3E">
        <w:rPr>
          <w:rFonts w:asciiTheme="minorHAnsi" w:hAnsiTheme="minorHAnsi" w:cs="Arial"/>
          <w:szCs w:val="22"/>
        </w:rPr>
        <w:t xml:space="preserve">NHS Choices. </w:t>
      </w:r>
      <w:r w:rsidRPr="007B4C3E">
        <w:rPr>
          <w:rFonts w:asciiTheme="minorHAnsi" w:hAnsiTheme="minorHAnsi" w:cs="Arial"/>
          <w:i/>
          <w:szCs w:val="22"/>
        </w:rPr>
        <w:t>Suicide</w:t>
      </w:r>
      <w:r w:rsidRPr="007B4C3E">
        <w:rPr>
          <w:rFonts w:asciiTheme="minorHAnsi" w:hAnsiTheme="minorHAnsi" w:cs="Arial"/>
          <w:szCs w:val="22"/>
        </w:rPr>
        <w:t xml:space="preserve">. 9 February 2015. Available at: </w:t>
      </w:r>
      <w:r>
        <w:fldChar w:fldCharType="begin"/>
      </w:r>
      <w:r>
        <w:instrText xml:space="preserve"> HYPERLINK "http://www.nhs.uk/conditions/Suicide/Pages/Introduction.aspx" \t "_blank" </w:instrText>
      </w:r>
      <w:r>
        <w:fldChar w:fldCharType="separate"/>
      </w:r>
      <w:r w:rsidRPr="007B4C3E">
        <w:rPr>
          <w:rStyle w:val="Hyperlink"/>
          <w:rFonts w:asciiTheme="minorHAnsi" w:hAnsiTheme="minorHAnsi"/>
          <w:szCs w:val="22"/>
        </w:rPr>
        <w:t>http://www.nhs.uk/conditions/Suicide/Pages/Introduction.aspx</w:t>
      </w:r>
      <w:r>
        <w:fldChar w:fldCharType="end"/>
      </w:r>
      <w:r w:rsidRPr="007B4C3E">
        <w:rPr>
          <w:rFonts w:asciiTheme="minorHAnsi" w:hAnsiTheme="minorHAnsi" w:cs="Arial"/>
          <w:szCs w:val="22"/>
        </w:rPr>
        <w:t>. (Accessed 18 January 2017).</w:t>
      </w:r>
    </w:p>
    <w:p w:rsidR="007B4C3E" w:rsidRPr="007B4C3E" w:rsidP="007B4C3E">
      <w:pPr>
        <w:pStyle w:val="NormalWeb"/>
        <w:numPr>
          <w:ilvl w:val="0"/>
          <w:numId w:val="12"/>
        </w:numPr>
        <w:rPr>
          <w:rFonts w:asciiTheme="minorHAnsi" w:hAnsiTheme="minorHAnsi" w:cs="Arial"/>
          <w:szCs w:val="22"/>
        </w:rPr>
      </w:pPr>
      <w:r w:rsidRPr="007B4C3E">
        <w:rPr>
          <w:rFonts w:asciiTheme="minorHAnsi" w:hAnsiTheme="minorHAnsi" w:cs="Arial"/>
          <w:szCs w:val="22"/>
        </w:rPr>
        <w:t xml:space="preserve">HM Government. </w:t>
      </w:r>
      <w:r w:rsidRPr="007B4C3E">
        <w:rPr>
          <w:rFonts w:asciiTheme="minorHAnsi" w:hAnsiTheme="minorHAnsi" w:cs="Arial"/>
          <w:i/>
          <w:szCs w:val="22"/>
        </w:rPr>
        <w:t>Preventing suicide in England: a cross-governmental outcomes strategy to save lives</w:t>
      </w:r>
      <w:r w:rsidRPr="007B4C3E">
        <w:rPr>
          <w:rFonts w:asciiTheme="minorHAnsi" w:hAnsiTheme="minorHAnsi" w:cs="Arial"/>
          <w:szCs w:val="22"/>
        </w:rPr>
        <w:t xml:space="preserve">. 10 September 2012. Available at: </w:t>
      </w:r>
      <w:r>
        <w:fldChar w:fldCharType="begin"/>
      </w:r>
      <w:r>
        <w:instrText xml:space="preserve"> HYPERLINK "https://www.gov.uk/government/uploads/system/uploads/attachment_data/file/430720/Preventing-Suicide-.pdf" \t "_blank" </w:instrText>
      </w:r>
      <w:r>
        <w:fldChar w:fldCharType="separate"/>
      </w:r>
      <w:r w:rsidRPr="007B4C3E">
        <w:rPr>
          <w:rStyle w:val="Hyperlink"/>
          <w:rFonts w:asciiTheme="minorHAnsi" w:hAnsiTheme="minorHAnsi"/>
          <w:szCs w:val="22"/>
        </w:rPr>
        <w:t>https://www.gov.uk/government/uploads/system/uploads/attachment_data/file/430720/Preventing-Suicide-.pdf</w:t>
      </w:r>
      <w:r>
        <w:fldChar w:fldCharType="end"/>
      </w:r>
      <w:r w:rsidRPr="007B4C3E">
        <w:rPr>
          <w:rFonts w:asciiTheme="minorHAnsi" w:hAnsiTheme="minorHAnsi" w:cs="Arial"/>
          <w:szCs w:val="22"/>
        </w:rPr>
        <w:t>. (Accessed 18 January 2017).</w:t>
      </w:r>
    </w:p>
    <w:p w:rsidR="007B4C3E" w:rsidRPr="007B4C3E" w:rsidP="007B4C3E">
      <w:pPr>
        <w:pStyle w:val="NormalWeb"/>
        <w:numPr>
          <w:ilvl w:val="0"/>
          <w:numId w:val="12"/>
        </w:numPr>
        <w:rPr>
          <w:rFonts w:asciiTheme="minorHAnsi" w:hAnsiTheme="minorHAnsi" w:cs="Arial"/>
          <w:szCs w:val="22"/>
        </w:rPr>
      </w:pPr>
      <w:r w:rsidRPr="007B4C3E">
        <w:rPr>
          <w:rFonts w:asciiTheme="minorHAnsi" w:hAnsiTheme="minorHAnsi" w:cs="Arial"/>
          <w:szCs w:val="22"/>
        </w:rPr>
        <w:t>Office for National</w:t>
      </w:r>
      <w:r w:rsidRPr="007B4C3E">
        <w:rPr>
          <w:rFonts w:asciiTheme="minorHAnsi" w:hAnsiTheme="minorHAnsi" w:cs="Arial"/>
          <w:szCs w:val="22"/>
        </w:rPr>
        <w:t xml:space="preserve"> Statistics. </w:t>
      </w:r>
      <w:r w:rsidRPr="007B4C3E">
        <w:rPr>
          <w:rFonts w:asciiTheme="minorHAnsi" w:hAnsiTheme="minorHAnsi" w:cs="Arial"/>
          <w:i/>
          <w:szCs w:val="22"/>
        </w:rPr>
        <w:t>Suicides in the United Kingdom: 2015 registrations</w:t>
      </w:r>
      <w:r w:rsidRPr="007B4C3E">
        <w:rPr>
          <w:rFonts w:asciiTheme="minorHAnsi" w:hAnsiTheme="minorHAnsi" w:cs="Arial"/>
          <w:szCs w:val="22"/>
        </w:rPr>
        <w:t>. 2 December 2016. Available at: https://www.ons.gov.uk/peoplepopulationandcommunity/birthsdeathsandmarriages/deaths/bulletins/suicidesintheunitedkingdom/2015registrations (Accessed 8 May 2017)</w:t>
      </w:r>
      <w:r w:rsidRPr="007B4C3E">
        <w:rPr>
          <w:rFonts w:asciiTheme="minorHAnsi" w:hAnsiTheme="minorHAnsi" w:cs="Arial"/>
          <w:szCs w:val="22"/>
        </w:rPr>
        <w:t>.</w:t>
      </w:r>
    </w:p>
    <w:p w:rsidR="007B4C3E" w:rsidRPr="007B4C3E" w:rsidP="007B4C3E">
      <w:pPr>
        <w:pStyle w:val="NormalWeb"/>
        <w:numPr>
          <w:ilvl w:val="0"/>
          <w:numId w:val="12"/>
        </w:numPr>
        <w:rPr>
          <w:rFonts w:asciiTheme="minorHAnsi" w:hAnsiTheme="minorHAnsi" w:cs="Arial"/>
          <w:szCs w:val="22"/>
        </w:rPr>
      </w:pPr>
      <w:r w:rsidRPr="007B4C3E">
        <w:rPr>
          <w:rFonts w:asciiTheme="minorHAnsi" w:hAnsiTheme="minorHAnsi" w:cs="Arial"/>
          <w:szCs w:val="22"/>
        </w:rPr>
        <w:t xml:space="preserve">Public Health England. </w:t>
      </w:r>
      <w:r w:rsidRPr="007B4C3E">
        <w:rPr>
          <w:rFonts w:asciiTheme="minorHAnsi" w:hAnsiTheme="minorHAnsi" w:cs="Arial"/>
          <w:i/>
          <w:szCs w:val="22"/>
        </w:rPr>
        <w:t>Local suicide prevention planning. A practice resource</w:t>
      </w:r>
      <w:r w:rsidRPr="007B4C3E">
        <w:rPr>
          <w:rFonts w:asciiTheme="minorHAnsi" w:hAnsiTheme="minorHAnsi" w:cs="Arial"/>
          <w:szCs w:val="22"/>
        </w:rPr>
        <w:t xml:space="preserve">. October 2016. Available at: </w:t>
      </w:r>
      <w:r>
        <w:fldChar w:fldCharType="begin"/>
      </w:r>
      <w:r>
        <w:instrText xml:space="preserve"> HYPERLINK "https://www.gov.uk/government/uploads/system/uploads/attachment_data/file/564420/phe_local_suicide_prevention_planning_a_practice_resource.pdf" \t "_blank" </w:instrText>
      </w:r>
      <w:r>
        <w:fldChar w:fldCharType="separate"/>
      </w:r>
      <w:r w:rsidRPr="007B4C3E">
        <w:rPr>
          <w:rStyle w:val="Hyperlink"/>
          <w:rFonts w:asciiTheme="minorHAnsi" w:hAnsiTheme="minorHAnsi"/>
          <w:szCs w:val="22"/>
        </w:rPr>
        <w:t>https://www.gov.uk/government/uploads/system/uploads/attachment_data/file/564420/phe_local_suicide_prevention_planning_a_practice_resource.pdf</w:t>
      </w:r>
      <w:r>
        <w:fldChar w:fldCharType="end"/>
      </w:r>
      <w:r w:rsidRPr="007B4C3E">
        <w:rPr>
          <w:rFonts w:asciiTheme="minorHAnsi" w:hAnsiTheme="minorHAnsi" w:cs="Arial"/>
          <w:szCs w:val="22"/>
        </w:rPr>
        <w:t>. (Accessed 2 December 2016).</w:t>
      </w:r>
    </w:p>
    <w:p w:rsidR="007B4C3E" w:rsidRPr="007B4C3E" w:rsidP="007B4C3E">
      <w:pPr>
        <w:pStyle w:val="NormalWeb"/>
        <w:numPr>
          <w:ilvl w:val="0"/>
          <w:numId w:val="12"/>
        </w:numPr>
        <w:rPr>
          <w:rFonts w:asciiTheme="minorHAnsi" w:hAnsiTheme="minorHAnsi" w:cs="Arial"/>
          <w:szCs w:val="22"/>
        </w:rPr>
      </w:pPr>
      <w:r w:rsidRPr="007B4C3E">
        <w:rPr>
          <w:rFonts w:asciiTheme="minorHAnsi" w:hAnsiTheme="minorHAnsi" w:cs="Arial"/>
          <w:szCs w:val="22"/>
        </w:rPr>
        <w:t>Reeves A, McKee M, Stuckler D. Economic suicides in the Grea</w:t>
      </w:r>
      <w:r w:rsidRPr="007B4C3E">
        <w:rPr>
          <w:rFonts w:asciiTheme="minorHAnsi" w:hAnsiTheme="minorHAnsi" w:cs="Arial"/>
          <w:szCs w:val="22"/>
        </w:rPr>
        <w:t xml:space="preserve">t Recession in Europe and North America. </w:t>
      </w:r>
      <w:r w:rsidRPr="007B4C3E">
        <w:rPr>
          <w:rFonts w:asciiTheme="minorHAnsi" w:hAnsiTheme="minorHAnsi" w:cs="Arial"/>
          <w:i/>
          <w:szCs w:val="22"/>
        </w:rPr>
        <w:t>Br J Psychiatry</w:t>
      </w:r>
      <w:r w:rsidRPr="007B4C3E">
        <w:rPr>
          <w:rFonts w:asciiTheme="minorHAnsi" w:hAnsiTheme="minorHAnsi" w:cs="Arial"/>
          <w:szCs w:val="22"/>
        </w:rPr>
        <w:t xml:space="preserve"> 2014 Sep;205(3):246-247.</w:t>
      </w:r>
    </w:p>
    <w:p w:rsidR="007B4C3E" w:rsidRPr="007B4C3E" w:rsidP="007B4C3E">
      <w:pPr>
        <w:pStyle w:val="NormalWeb"/>
        <w:numPr>
          <w:ilvl w:val="0"/>
          <w:numId w:val="12"/>
        </w:numPr>
        <w:rPr>
          <w:rFonts w:asciiTheme="minorHAnsi" w:hAnsiTheme="minorHAnsi" w:cs="Arial"/>
          <w:szCs w:val="22"/>
        </w:rPr>
      </w:pPr>
      <w:r w:rsidRPr="007B4C3E">
        <w:rPr>
          <w:rFonts w:asciiTheme="minorHAnsi" w:hAnsiTheme="minorHAnsi" w:cs="Arial"/>
          <w:szCs w:val="22"/>
        </w:rPr>
        <w:t xml:space="preserve">Office for National Statistics. </w:t>
      </w:r>
      <w:r w:rsidRPr="007B4C3E">
        <w:rPr>
          <w:rFonts w:asciiTheme="minorHAnsi" w:hAnsiTheme="minorHAnsi" w:cs="Arial"/>
          <w:i/>
          <w:szCs w:val="22"/>
        </w:rPr>
        <w:t xml:space="preserve">Deaths by single year of age tables - UK. </w:t>
      </w:r>
      <w:r w:rsidRPr="007B4C3E">
        <w:rPr>
          <w:rFonts w:asciiTheme="minorHAnsi" w:hAnsiTheme="minorHAnsi" w:cs="Arial"/>
          <w:szCs w:val="22"/>
        </w:rPr>
        <w:t>13 July 2016. Available at: https://www.ons.gov.uk/peoplepopulationandcommunity/birthsdeathsandmarri</w:t>
      </w:r>
      <w:r w:rsidRPr="007B4C3E">
        <w:rPr>
          <w:rFonts w:asciiTheme="minorHAnsi" w:hAnsiTheme="minorHAnsi" w:cs="Arial"/>
          <w:szCs w:val="22"/>
        </w:rPr>
        <w:t>ages/deaths/datasets/deathregistrationssummarytablesenglandandwalesdeathsbysingleyearofagetables. (Accessed 08 May 2017).</w:t>
      </w:r>
    </w:p>
    <w:p w:rsidR="007B4C3E" w:rsidRPr="007B4C3E" w:rsidP="007B4C3E">
      <w:pPr>
        <w:pStyle w:val="NormalWeb"/>
        <w:numPr>
          <w:ilvl w:val="0"/>
          <w:numId w:val="12"/>
        </w:numPr>
        <w:rPr>
          <w:rFonts w:asciiTheme="minorHAnsi" w:hAnsiTheme="minorHAnsi" w:cs="Arial"/>
          <w:szCs w:val="22"/>
        </w:rPr>
      </w:pPr>
      <w:r w:rsidRPr="007B4C3E">
        <w:rPr>
          <w:rFonts w:asciiTheme="minorHAnsi" w:hAnsiTheme="minorHAnsi" w:cs="Arial"/>
          <w:szCs w:val="22"/>
        </w:rPr>
        <w:t xml:space="preserve">Routley VH, Ozanne-Smith J. The impact of catalytic converters on motor vehicle exhaust gas suicides. </w:t>
      </w:r>
      <w:r w:rsidRPr="007B4C3E">
        <w:rPr>
          <w:rFonts w:asciiTheme="minorHAnsi" w:hAnsiTheme="minorHAnsi" w:cs="Arial"/>
          <w:i/>
          <w:szCs w:val="22"/>
        </w:rPr>
        <w:t xml:space="preserve">Med J Aust </w:t>
      </w:r>
      <w:r w:rsidRPr="007B4C3E">
        <w:rPr>
          <w:rFonts w:asciiTheme="minorHAnsi" w:hAnsiTheme="minorHAnsi" w:cs="Arial"/>
          <w:szCs w:val="22"/>
        </w:rPr>
        <w:t>1998 Jan 19;168(2):65</w:t>
      </w:r>
      <w:r w:rsidRPr="007B4C3E">
        <w:rPr>
          <w:rFonts w:asciiTheme="minorHAnsi" w:hAnsiTheme="minorHAnsi" w:cs="Arial"/>
          <w:szCs w:val="22"/>
        </w:rPr>
        <w:t>-67.</w:t>
      </w:r>
    </w:p>
    <w:p w:rsidR="007B4C3E" w:rsidRPr="007B4C3E" w:rsidP="007B4C3E">
      <w:pPr>
        <w:pStyle w:val="NormalWeb"/>
        <w:numPr>
          <w:ilvl w:val="0"/>
          <w:numId w:val="12"/>
        </w:numPr>
        <w:rPr>
          <w:rFonts w:asciiTheme="minorHAnsi" w:hAnsiTheme="minorHAnsi" w:cs="Arial"/>
          <w:szCs w:val="22"/>
        </w:rPr>
      </w:pPr>
      <w:r w:rsidRPr="007B4C3E">
        <w:rPr>
          <w:rFonts w:asciiTheme="minorHAnsi" w:hAnsiTheme="minorHAnsi" w:cs="Arial"/>
          <w:szCs w:val="22"/>
        </w:rPr>
        <w:t xml:space="preserve">Public Health England. </w:t>
      </w:r>
      <w:r w:rsidRPr="007B4C3E">
        <w:rPr>
          <w:rFonts w:asciiTheme="minorHAnsi" w:hAnsiTheme="minorHAnsi" w:cs="Arial"/>
          <w:i/>
          <w:szCs w:val="22"/>
        </w:rPr>
        <w:t>Suicide Prevention Profile</w:t>
      </w:r>
      <w:r w:rsidRPr="007B4C3E">
        <w:rPr>
          <w:rFonts w:asciiTheme="minorHAnsi" w:hAnsiTheme="minorHAnsi" w:cs="Arial"/>
          <w:szCs w:val="22"/>
        </w:rPr>
        <w:t xml:space="preserve">. 2016. Available at: </w:t>
      </w:r>
      <w:r>
        <w:fldChar w:fldCharType="begin"/>
      </w:r>
      <w:r>
        <w:instrText xml:space="preserve"> HYPERLINK "http://fingertips.phe.org.uk/profile-group/mental-health/profile/suicide/data" \l "page/1/gid/1938132828/pat/6/par/E12000002/ati/102/are/E06000009/iid/41001/age/285/sex/4" \t "_blank" </w:instrText>
      </w:r>
      <w:r>
        <w:fldChar w:fldCharType="separate"/>
      </w:r>
      <w:r w:rsidRPr="007B4C3E">
        <w:rPr>
          <w:rStyle w:val="Hyperlink"/>
          <w:rFonts w:asciiTheme="minorHAnsi" w:hAnsiTheme="minorHAnsi"/>
          <w:szCs w:val="22"/>
        </w:rPr>
        <w:t>http://fingertips.phe.org.uk/profile-group/mental-health/profile/suicide/data#page/1/gid/1938132828/pat/6/par/E12000002/ati/102/are/E06000009/iid/41001/age/285/sex/4</w:t>
      </w:r>
      <w:r>
        <w:fldChar w:fldCharType="end"/>
      </w:r>
      <w:r w:rsidRPr="007B4C3E">
        <w:rPr>
          <w:rFonts w:asciiTheme="minorHAnsi" w:hAnsiTheme="minorHAnsi" w:cs="Arial"/>
          <w:szCs w:val="22"/>
        </w:rPr>
        <w:t>. (Accessed 2 December 2016).</w:t>
      </w:r>
    </w:p>
    <w:p w:rsidR="007B4C3E" w:rsidRPr="007B4C3E" w:rsidP="007B4C3E">
      <w:pPr>
        <w:pStyle w:val="NormalWeb"/>
        <w:numPr>
          <w:ilvl w:val="0"/>
          <w:numId w:val="12"/>
        </w:numPr>
        <w:rPr>
          <w:rFonts w:asciiTheme="minorHAnsi" w:hAnsiTheme="minorHAnsi" w:cs="Arial"/>
          <w:szCs w:val="22"/>
        </w:rPr>
      </w:pPr>
      <w:r w:rsidRPr="007B4C3E">
        <w:rPr>
          <w:rFonts w:asciiTheme="minorHAnsi" w:hAnsiTheme="minorHAnsi" w:cs="Arial"/>
          <w:szCs w:val="22"/>
        </w:rPr>
        <w:t xml:space="preserve">NHS England. </w:t>
      </w:r>
      <w:r w:rsidRPr="007B4C3E">
        <w:rPr>
          <w:rFonts w:asciiTheme="minorHAnsi" w:hAnsiTheme="minorHAnsi" w:cs="Arial"/>
          <w:i/>
          <w:szCs w:val="22"/>
        </w:rPr>
        <w:t>Implementing the five year fo</w:t>
      </w:r>
      <w:r w:rsidRPr="007B4C3E">
        <w:rPr>
          <w:rFonts w:asciiTheme="minorHAnsi" w:hAnsiTheme="minorHAnsi" w:cs="Arial"/>
          <w:i/>
          <w:szCs w:val="22"/>
        </w:rPr>
        <w:t xml:space="preserve">rward view for mental health. </w:t>
      </w:r>
      <w:r w:rsidRPr="007B4C3E">
        <w:rPr>
          <w:rFonts w:asciiTheme="minorHAnsi" w:hAnsiTheme="minorHAnsi" w:cs="Arial"/>
          <w:szCs w:val="22"/>
        </w:rPr>
        <w:t xml:space="preserve">1 February 2016. Available at: </w:t>
      </w:r>
      <w:r>
        <w:fldChar w:fldCharType="begin"/>
      </w:r>
      <w:r>
        <w:instrText xml:space="preserve"> HYPERLINK "https://www.england.nhs.uk/wp-content/uploads/2016/02/Mental-Health-Taskforce-FYFV-final.pdf" \t "_blank" </w:instrText>
      </w:r>
      <w:r>
        <w:fldChar w:fldCharType="separate"/>
      </w:r>
      <w:r w:rsidRPr="007B4C3E">
        <w:rPr>
          <w:rStyle w:val="Hyperlink"/>
          <w:rFonts w:asciiTheme="minorHAnsi" w:hAnsiTheme="minorHAnsi"/>
          <w:szCs w:val="22"/>
        </w:rPr>
        <w:t>https://www.england.nhs.uk/wp-content/uploads/2016/02/Mental-Health-Taskforce</w:t>
      </w:r>
      <w:r w:rsidRPr="007B4C3E">
        <w:rPr>
          <w:rStyle w:val="Hyperlink"/>
          <w:rFonts w:asciiTheme="minorHAnsi" w:hAnsiTheme="minorHAnsi"/>
          <w:szCs w:val="22"/>
        </w:rPr>
        <w:t>-FYFV-final.pdf</w:t>
      </w:r>
      <w:r>
        <w:fldChar w:fldCharType="end"/>
      </w:r>
      <w:r w:rsidRPr="007B4C3E">
        <w:rPr>
          <w:rFonts w:asciiTheme="minorHAnsi" w:hAnsiTheme="minorHAnsi" w:cs="Arial"/>
          <w:szCs w:val="22"/>
        </w:rPr>
        <w:t>. (Accessed 18 January 2017).</w:t>
      </w:r>
    </w:p>
    <w:p w:rsidR="007B4C3E" w:rsidRPr="007B4C3E" w:rsidP="007B4C3E">
      <w:pPr>
        <w:pStyle w:val="NormalWeb"/>
        <w:numPr>
          <w:ilvl w:val="0"/>
          <w:numId w:val="12"/>
        </w:numPr>
        <w:rPr>
          <w:rFonts w:asciiTheme="minorHAnsi" w:hAnsiTheme="minorHAnsi" w:cs="Arial"/>
          <w:szCs w:val="22"/>
        </w:rPr>
      </w:pPr>
      <w:r w:rsidRPr="007B4C3E">
        <w:rPr>
          <w:rFonts w:asciiTheme="minorHAnsi" w:hAnsiTheme="minorHAnsi" w:cs="Arial"/>
          <w:szCs w:val="22"/>
        </w:rPr>
        <w:t xml:space="preserve">Healthcare Quality Improvement Partnership. </w:t>
      </w:r>
      <w:r w:rsidRPr="007B4C3E">
        <w:rPr>
          <w:rFonts w:asciiTheme="minorHAnsi" w:hAnsiTheme="minorHAnsi" w:cs="Arial"/>
          <w:i/>
          <w:szCs w:val="22"/>
        </w:rPr>
        <w:t>The National Confidential Inquiry into Suicide and Homicide by People with Mental Illness</w:t>
      </w:r>
      <w:r w:rsidRPr="007B4C3E">
        <w:rPr>
          <w:rFonts w:asciiTheme="minorHAnsi" w:hAnsiTheme="minorHAnsi" w:cs="Arial"/>
          <w:szCs w:val="22"/>
        </w:rPr>
        <w:t xml:space="preserve">. October 2016. Available at: </w:t>
      </w:r>
      <w:r>
        <w:fldChar w:fldCharType="begin"/>
      </w:r>
      <w:r>
        <w:instrText xml:space="preserve"> HYPERLINK "http://research.bmh.manchester.ac.uk/cmhs/research/centreforsuicideprevention/nci/reports/2016-report.pdf" \t "_blank" </w:instrText>
      </w:r>
      <w:r>
        <w:fldChar w:fldCharType="separate"/>
      </w:r>
      <w:r w:rsidRPr="007B4C3E">
        <w:rPr>
          <w:rStyle w:val="Hyperlink"/>
          <w:rFonts w:asciiTheme="minorHAnsi" w:hAnsiTheme="minorHAnsi"/>
          <w:szCs w:val="22"/>
        </w:rPr>
        <w:t>http://research.bmh.manchester.ac.uk/cmhs/research/centreforsuicideprevention/nci/reports/2016-report.pdf</w:t>
      </w:r>
      <w:r>
        <w:fldChar w:fldCharType="end"/>
      </w:r>
      <w:r w:rsidRPr="007B4C3E">
        <w:rPr>
          <w:rFonts w:asciiTheme="minorHAnsi" w:hAnsiTheme="minorHAnsi" w:cs="Arial"/>
          <w:szCs w:val="22"/>
        </w:rPr>
        <w:t>. (Accessed 5 April 2017).</w:t>
      </w:r>
    </w:p>
    <w:p w:rsidR="007B4C3E" w:rsidRPr="007B4C3E" w:rsidP="007B4C3E">
      <w:pPr>
        <w:pStyle w:val="NormalWeb"/>
        <w:numPr>
          <w:ilvl w:val="0"/>
          <w:numId w:val="12"/>
        </w:numPr>
        <w:rPr>
          <w:rFonts w:asciiTheme="minorHAnsi" w:hAnsiTheme="minorHAnsi" w:cs="Arial"/>
          <w:szCs w:val="22"/>
        </w:rPr>
      </w:pPr>
      <w:r w:rsidRPr="007B4C3E">
        <w:rPr>
          <w:rFonts w:asciiTheme="minorHAnsi" w:hAnsiTheme="minorHAnsi" w:cs="Arial"/>
          <w:szCs w:val="22"/>
        </w:rPr>
        <w:t xml:space="preserve">HM Government. </w:t>
      </w:r>
      <w:r w:rsidRPr="007B4C3E">
        <w:rPr>
          <w:rFonts w:asciiTheme="minorHAnsi" w:hAnsiTheme="minorHAnsi" w:cs="Arial"/>
          <w:i/>
          <w:szCs w:val="22"/>
        </w:rPr>
        <w:t>Preventing suicide i</w:t>
      </w:r>
      <w:r w:rsidRPr="007B4C3E">
        <w:rPr>
          <w:rFonts w:asciiTheme="minorHAnsi" w:hAnsiTheme="minorHAnsi" w:cs="Arial"/>
          <w:i/>
          <w:szCs w:val="22"/>
        </w:rPr>
        <w:t>n England: third progress report of the cross-governmental strategy to save lives.</w:t>
      </w:r>
      <w:r w:rsidRPr="007B4C3E">
        <w:rPr>
          <w:rFonts w:asciiTheme="minorHAnsi" w:hAnsiTheme="minorHAnsi" w:cs="Arial"/>
          <w:szCs w:val="22"/>
        </w:rPr>
        <w:t xml:space="preserve"> 9 January 2017. Available at: </w:t>
      </w:r>
      <w:r>
        <w:fldChar w:fldCharType="begin"/>
      </w:r>
      <w:r>
        <w:instrText xml:space="preserve"> HYPERLINK "https://www.gov.uk/government/uploads/system/uploads/attachment_data/file/582117/Suicide_report_2016_A.pdf" \t "_blank" </w:instrText>
      </w:r>
      <w:r>
        <w:fldChar w:fldCharType="separate"/>
      </w:r>
      <w:r w:rsidRPr="007B4C3E">
        <w:rPr>
          <w:rStyle w:val="Hyperlink"/>
          <w:rFonts w:asciiTheme="minorHAnsi" w:hAnsiTheme="minorHAnsi"/>
          <w:szCs w:val="22"/>
        </w:rPr>
        <w:t>https://www</w:t>
      </w:r>
      <w:r w:rsidRPr="007B4C3E">
        <w:rPr>
          <w:rStyle w:val="Hyperlink"/>
          <w:rFonts w:asciiTheme="minorHAnsi" w:hAnsiTheme="minorHAnsi"/>
          <w:szCs w:val="22"/>
        </w:rPr>
        <w:t>.gov.uk/government/uploads/system/uploads/attachment_data/file/582117/Suicide_report_2016_A.pdf</w:t>
      </w:r>
      <w:r>
        <w:fldChar w:fldCharType="end"/>
      </w:r>
      <w:r w:rsidRPr="007B4C3E">
        <w:rPr>
          <w:rFonts w:asciiTheme="minorHAnsi" w:hAnsiTheme="minorHAnsi" w:cs="Arial"/>
          <w:szCs w:val="22"/>
        </w:rPr>
        <w:t>. (Accessed 7 April 2017).</w:t>
      </w:r>
    </w:p>
    <w:p w:rsidR="007B4C3E" w:rsidRPr="007B4C3E" w:rsidP="007B4C3E">
      <w:pPr>
        <w:pStyle w:val="NormalWeb"/>
        <w:numPr>
          <w:ilvl w:val="0"/>
          <w:numId w:val="12"/>
        </w:numPr>
        <w:rPr>
          <w:rFonts w:asciiTheme="minorHAnsi" w:hAnsiTheme="minorHAnsi" w:cs="Arial"/>
          <w:szCs w:val="22"/>
        </w:rPr>
      </w:pPr>
      <w:r w:rsidRPr="007B4C3E">
        <w:rPr>
          <w:rFonts w:asciiTheme="minorHAnsi" w:hAnsiTheme="minorHAnsi" w:cs="Arial"/>
          <w:szCs w:val="22"/>
        </w:rPr>
        <w:t xml:space="preserve">HM Government. </w:t>
      </w:r>
      <w:r w:rsidRPr="007B4C3E">
        <w:rPr>
          <w:rFonts w:asciiTheme="minorHAnsi" w:hAnsiTheme="minorHAnsi" w:cs="Arial"/>
          <w:i/>
          <w:szCs w:val="22"/>
        </w:rPr>
        <w:t>No health without mental health. A cross-government mental health outcomes strategy.</w:t>
      </w:r>
      <w:r w:rsidRPr="007B4C3E">
        <w:rPr>
          <w:rFonts w:asciiTheme="minorHAnsi" w:hAnsiTheme="minorHAnsi" w:cs="Arial"/>
          <w:szCs w:val="22"/>
        </w:rPr>
        <w:t xml:space="preserve"> February 2011. Available at: </w:t>
      </w:r>
      <w:r>
        <w:fldChar w:fldCharType="begin"/>
      </w:r>
      <w:r>
        <w:instrText xml:space="preserve"> HYPERLINK "https://www.gov.uk/government/uploads/system/uploads/attachment_data/file/213761/dh_124058.pdf" \t "_blank" </w:instrText>
      </w:r>
      <w:r>
        <w:fldChar w:fldCharType="separate"/>
      </w:r>
      <w:r w:rsidRPr="007B4C3E">
        <w:rPr>
          <w:rStyle w:val="Hyperlink"/>
          <w:rFonts w:asciiTheme="minorHAnsi" w:hAnsiTheme="minorHAnsi"/>
          <w:szCs w:val="22"/>
        </w:rPr>
        <w:t>https://www.gov.uk/government/uploads/system/uploads/attachment_data/file/213761/dh_124058.pdf</w:t>
      </w:r>
      <w:r>
        <w:fldChar w:fldCharType="end"/>
      </w:r>
      <w:r w:rsidRPr="007B4C3E">
        <w:rPr>
          <w:rFonts w:asciiTheme="minorHAnsi" w:hAnsiTheme="minorHAnsi" w:cs="Arial"/>
          <w:szCs w:val="22"/>
        </w:rPr>
        <w:t>. (Accessed 19 December 2015).</w:t>
      </w:r>
    </w:p>
    <w:p w:rsidR="007B4C3E" w:rsidRPr="007B4C3E" w:rsidP="007B4C3E">
      <w:pPr>
        <w:pStyle w:val="NormalWeb"/>
        <w:numPr>
          <w:ilvl w:val="0"/>
          <w:numId w:val="12"/>
        </w:numPr>
        <w:rPr>
          <w:rFonts w:asciiTheme="minorHAnsi" w:hAnsiTheme="minorHAnsi" w:cs="Arial"/>
          <w:szCs w:val="22"/>
        </w:rPr>
      </w:pPr>
      <w:r w:rsidRPr="007B4C3E">
        <w:rPr>
          <w:rFonts w:asciiTheme="minorHAnsi" w:hAnsiTheme="minorHAnsi" w:cs="Arial"/>
          <w:szCs w:val="22"/>
        </w:rPr>
        <w:t>Healthie</w:t>
      </w:r>
      <w:r w:rsidRPr="007B4C3E">
        <w:rPr>
          <w:rFonts w:asciiTheme="minorHAnsi" w:hAnsiTheme="minorHAnsi" w:cs="Arial"/>
          <w:szCs w:val="22"/>
        </w:rPr>
        <w:t xml:space="preserve">r Lancashire and South Cumbria. </w:t>
      </w:r>
      <w:r w:rsidRPr="007B4C3E">
        <w:rPr>
          <w:rFonts w:asciiTheme="minorHAnsi" w:hAnsiTheme="minorHAnsi" w:cs="Arial"/>
          <w:i/>
          <w:szCs w:val="22"/>
        </w:rPr>
        <w:t>Healthier Lancashire and South Cumbria Sustainability and Transformation Plan 2016/17-2020/21. Draft. Third submission to NHS England.</w:t>
      </w:r>
      <w:r w:rsidRPr="007B4C3E">
        <w:rPr>
          <w:rFonts w:asciiTheme="minorHAnsi" w:hAnsiTheme="minorHAnsi" w:cs="Arial"/>
          <w:szCs w:val="22"/>
        </w:rPr>
        <w:t xml:space="preserve"> 21 October 2016. Available at: </w:t>
      </w:r>
      <w:r>
        <w:fldChar w:fldCharType="begin"/>
      </w:r>
      <w:r>
        <w:instrText xml:space="preserve"> HYPERLINK "http://www.lancashiresouthcumbria.org.uk/sustainability-and-transformation-plan" \t "_blank" </w:instrText>
      </w:r>
      <w:r>
        <w:fldChar w:fldCharType="separate"/>
      </w:r>
      <w:r w:rsidRPr="007B4C3E">
        <w:rPr>
          <w:rStyle w:val="Hyperlink"/>
          <w:rFonts w:asciiTheme="minorHAnsi" w:hAnsiTheme="minorHAnsi"/>
          <w:szCs w:val="22"/>
        </w:rPr>
        <w:t>http://www.lancashiresouthcumbria.org.uk/sustainability-and-transformation-plan</w:t>
      </w:r>
      <w:r>
        <w:fldChar w:fldCharType="end"/>
      </w:r>
      <w:r w:rsidRPr="007B4C3E">
        <w:rPr>
          <w:rFonts w:asciiTheme="minorHAnsi" w:hAnsiTheme="minorHAnsi" w:cs="Arial"/>
          <w:szCs w:val="22"/>
        </w:rPr>
        <w:t>. (Accessed 18 January 2017).</w:t>
      </w:r>
    </w:p>
    <w:p w:rsidR="007B4C3E" w:rsidRPr="007B4C3E" w:rsidP="007B4C3E">
      <w:pPr>
        <w:pStyle w:val="NormalWeb"/>
        <w:numPr>
          <w:ilvl w:val="0"/>
          <w:numId w:val="12"/>
        </w:numPr>
        <w:rPr>
          <w:rFonts w:asciiTheme="minorHAnsi" w:hAnsiTheme="minorHAnsi" w:cs="Arial"/>
          <w:szCs w:val="22"/>
        </w:rPr>
      </w:pPr>
      <w:r w:rsidRPr="007B4C3E">
        <w:rPr>
          <w:rFonts w:asciiTheme="minorHAnsi" w:hAnsiTheme="minorHAnsi" w:cs="Arial"/>
          <w:szCs w:val="22"/>
        </w:rPr>
        <w:t>Pitman AL, Osborn DP, Rantell K, King MB. Bereavement by suicide as a risk factor for suicide att</w:t>
      </w:r>
      <w:r w:rsidRPr="007B4C3E">
        <w:rPr>
          <w:rFonts w:asciiTheme="minorHAnsi" w:hAnsiTheme="minorHAnsi" w:cs="Arial"/>
          <w:szCs w:val="22"/>
        </w:rPr>
        <w:t xml:space="preserve">empt: a cross-sectional national UK-wide study of 3432 young bereaved adults. </w:t>
      </w:r>
      <w:r w:rsidRPr="007B4C3E">
        <w:rPr>
          <w:rFonts w:asciiTheme="minorHAnsi" w:hAnsiTheme="minorHAnsi" w:cs="Arial"/>
          <w:i/>
          <w:szCs w:val="22"/>
        </w:rPr>
        <w:t>BMJ Open</w:t>
      </w:r>
      <w:r w:rsidRPr="007B4C3E">
        <w:rPr>
          <w:rFonts w:asciiTheme="minorHAnsi" w:hAnsiTheme="minorHAnsi" w:cs="Arial"/>
          <w:szCs w:val="22"/>
        </w:rPr>
        <w:t xml:space="preserve"> 2016 Jan 26;6(1):e009948-2015-009948.</w:t>
      </w:r>
    </w:p>
    <w:p w:rsidR="007B4C3E" w:rsidRPr="004C26EF" w:rsidP="00C2208C">
      <w:pPr>
        <w:rPr>
          <w:rFonts w:cs="Arial"/>
          <w:b/>
          <w:sz w:val="24"/>
          <w:u w:val="single"/>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5E527FE"/>
    <w:multiLevelType w:val="hybridMultilevel"/>
    <w:tmpl w:val="D592E9F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FB50CF3"/>
    <w:multiLevelType w:val="hybridMultilevel"/>
    <w:tmpl w:val="FDE4A7A2"/>
    <w:lvl w:ilvl="0">
      <w:start w:val="1"/>
      <w:numFmt w:val="bullet"/>
      <w:lvlText w:val=""/>
      <w:lvlJc w:val="left"/>
      <w:pPr>
        <w:ind w:left="1080" w:hanging="360"/>
      </w:pPr>
      <w:rPr>
        <w:rFonts w:ascii="Symbol" w:hAnsi="Symbol"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29C47C36"/>
    <w:multiLevelType w:val="hybridMultilevel"/>
    <w:tmpl w:val="F16AF7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5FD5878"/>
    <w:multiLevelType w:val="multilevel"/>
    <w:tmpl w:val="79926058"/>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8E84A1C"/>
    <w:multiLevelType w:val="multilevel"/>
    <w:tmpl w:val="1D627D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4E9A2689"/>
    <w:multiLevelType w:val="hybridMultilevel"/>
    <w:tmpl w:val="DBDAF1C0"/>
    <w:lvl w:ilvl="0">
      <w:start w:val="1"/>
      <w:numFmt w:val="decimal"/>
      <w:lvlText w:val="%1."/>
      <w:lvlJc w:val="left"/>
      <w:pPr>
        <w:ind w:left="774" w:hanging="360"/>
      </w:pPr>
    </w:lvl>
    <w:lvl w:ilvl="1" w:tentative="1">
      <w:start w:val="1"/>
      <w:numFmt w:val="lowerLetter"/>
      <w:lvlText w:val="%2."/>
      <w:lvlJc w:val="left"/>
      <w:pPr>
        <w:ind w:left="1494" w:hanging="360"/>
      </w:pPr>
    </w:lvl>
    <w:lvl w:ilvl="2" w:tentative="1">
      <w:start w:val="1"/>
      <w:numFmt w:val="lowerRoman"/>
      <w:lvlText w:val="%3."/>
      <w:lvlJc w:val="right"/>
      <w:pPr>
        <w:ind w:left="2214" w:hanging="180"/>
      </w:pPr>
    </w:lvl>
    <w:lvl w:ilvl="3" w:tentative="1">
      <w:start w:val="1"/>
      <w:numFmt w:val="decimal"/>
      <w:lvlText w:val="%4."/>
      <w:lvlJc w:val="left"/>
      <w:pPr>
        <w:ind w:left="2934" w:hanging="360"/>
      </w:pPr>
    </w:lvl>
    <w:lvl w:ilvl="4" w:tentative="1">
      <w:start w:val="1"/>
      <w:numFmt w:val="lowerLetter"/>
      <w:lvlText w:val="%5."/>
      <w:lvlJc w:val="left"/>
      <w:pPr>
        <w:ind w:left="3654" w:hanging="360"/>
      </w:pPr>
    </w:lvl>
    <w:lvl w:ilvl="5" w:tentative="1">
      <w:start w:val="1"/>
      <w:numFmt w:val="lowerRoman"/>
      <w:lvlText w:val="%6."/>
      <w:lvlJc w:val="right"/>
      <w:pPr>
        <w:ind w:left="4374" w:hanging="180"/>
      </w:pPr>
    </w:lvl>
    <w:lvl w:ilvl="6" w:tentative="1">
      <w:start w:val="1"/>
      <w:numFmt w:val="decimal"/>
      <w:lvlText w:val="%7."/>
      <w:lvlJc w:val="left"/>
      <w:pPr>
        <w:ind w:left="5094" w:hanging="360"/>
      </w:pPr>
    </w:lvl>
    <w:lvl w:ilvl="7" w:tentative="1">
      <w:start w:val="1"/>
      <w:numFmt w:val="lowerLetter"/>
      <w:lvlText w:val="%8."/>
      <w:lvlJc w:val="left"/>
      <w:pPr>
        <w:ind w:left="5814" w:hanging="360"/>
      </w:pPr>
    </w:lvl>
    <w:lvl w:ilvl="8" w:tentative="1">
      <w:start w:val="1"/>
      <w:numFmt w:val="lowerRoman"/>
      <w:lvlText w:val="%9."/>
      <w:lvlJc w:val="right"/>
      <w:pPr>
        <w:ind w:left="6534" w:hanging="180"/>
      </w:pPr>
    </w:lvl>
  </w:abstractNum>
  <w:abstractNum w:abstractNumId="6">
    <w:nsid w:val="565C5183"/>
    <w:multiLevelType w:val="multilevel"/>
    <w:tmpl w:val="0C0EE55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60254059"/>
    <w:multiLevelType w:val="hybridMultilevel"/>
    <w:tmpl w:val="5592306A"/>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8C10CF5"/>
    <w:multiLevelType w:val="hybridMultilevel"/>
    <w:tmpl w:val="D592E9F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735E2EB6"/>
    <w:multiLevelType w:val="hybridMultilevel"/>
    <w:tmpl w:val="928CA214"/>
    <w:lvl w:ilvl="0">
      <w:start w:val="1"/>
      <w:numFmt w:val="bullet"/>
      <w:lvlText w:val=""/>
      <w:lvlJc w:val="left"/>
      <w:pPr>
        <w:ind w:left="1081" w:hanging="360"/>
      </w:pPr>
      <w:rPr>
        <w:rFonts w:ascii="Symbol" w:hAnsi="Symbol" w:hint="default"/>
      </w:rPr>
    </w:lvl>
    <w:lvl w:ilvl="1" w:tentative="1">
      <w:start w:val="1"/>
      <w:numFmt w:val="lowerLetter"/>
      <w:lvlText w:val="%2."/>
      <w:lvlJc w:val="left"/>
      <w:pPr>
        <w:ind w:left="1801" w:hanging="360"/>
      </w:pPr>
    </w:lvl>
    <w:lvl w:ilvl="2" w:tentative="1">
      <w:start w:val="1"/>
      <w:numFmt w:val="lowerRoman"/>
      <w:lvlText w:val="%3."/>
      <w:lvlJc w:val="right"/>
      <w:pPr>
        <w:ind w:left="2521" w:hanging="180"/>
      </w:pPr>
    </w:lvl>
    <w:lvl w:ilvl="3" w:tentative="1">
      <w:start w:val="1"/>
      <w:numFmt w:val="decimal"/>
      <w:lvlText w:val="%4."/>
      <w:lvlJc w:val="left"/>
      <w:pPr>
        <w:ind w:left="3241" w:hanging="360"/>
      </w:pPr>
    </w:lvl>
    <w:lvl w:ilvl="4" w:tentative="1">
      <w:start w:val="1"/>
      <w:numFmt w:val="lowerLetter"/>
      <w:lvlText w:val="%5."/>
      <w:lvlJc w:val="left"/>
      <w:pPr>
        <w:ind w:left="3961" w:hanging="360"/>
      </w:pPr>
    </w:lvl>
    <w:lvl w:ilvl="5" w:tentative="1">
      <w:start w:val="1"/>
      <w:numFmt w:val="lowerRoman"/>
      <w:lvlText w:val="%6."/>
      <w:lvlJc w:val="right"/>
      <w:pPr>
        <w:ind w:left="4681" w:hanging="180"/>
      </w:pPr>
    </w:lvl>
    <w:lvl w:ilvl="6" w:tentative="1">
      <w:start w:val="1"/>
      <w:numFmt w:val="decimal"/>
      <w:lvlText w:val="%7."/>
      <w:lvlJc w:val="left"/>
      <w:pPr>
        <w:ind w:left="5401" w:hanging="360"/>
      </w:pPr>
    </w:lvl>
    <w:lvl w:ilvl="7" w:tentative="1">
      <w:start w:val="1"/>
      <w:numFmt w:val="lowerLetter"/>
      <w:lvlText w:val="%8."/>
      <w:lvlJc w:val="left"/>
      <w:pPr>
        <w:ind w:left="6121" w:hanging="360"/>
      </w:pPr>
    </w:lvl>
    <w:lvl w:ilvl="8" w:tentative="1">
      <w:start w:val="1"/>
      <w:numFmt w:val="lowerRoman"/>
      <w:lvlText w:val="%9."/>
      <w:lvlJc w:val="right"/>
      <w:pPr>
        <w:ind w:left="6841" w:hanging="180"/>
      </w:pPr>
    </w:lvl>
  </w:abstractNum>
  <w:abstractNum w:abstractNumId="10">
    <w:nsid w:val="73F71397"/>
    <w:multiLevelType w:val="hybridMultilevel"/>
    <w:tmpl w:val="7A1E4580"/>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7500026"/>
    <w:multiLevelType w:val="hybridMultilevel"/>
    <w:tmpl w:val="B1EA04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0"/>
  </w:num>
  <w:num w:numId="5">
    <w:abstractNumId w:val="9"/>
  </w:num>
  <w:num w:numId="6">
    <w:abstractNumId w:val="10"/>
  </w:num>
  <w:num w:numId="7">
    <w:abstractNumId w:val="1"/>
  </w:num>
  <w:num w:numId="8">
    <w:abstractNumId w:val="2"/>
  </w:num>
  <w:num w:numId="9">
    <w:abstractNumId w:val="3"/>
  </w:num>
  <w:num w:numId="10">
    <w:abstractNumId w:val="11"/>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link w:val="Heading2Char"/>
    <w:qFormat/>
    <w:rsid w:val="00C2208C"/>
    <w:pPr>
      <w:keepNext/>
      <w:spacing w:before="60" w:after="0"/>
      <w:outlineLvl w:val="1"/>
    </w:pPr>
    <w:rPr>
      <w:rFonts w:ascii="Arial" w:eastAsia="Times New Roman" w:hAnsi="Arial" w:cs="Times New Roman"/>
      <w:b/>
      <w:bCs/>
      <w:color w:val="000000"/>
      <w:sz w:val="32"/>
      <w:szCs w:val="26"/>
    </w:rPr>
  </w:style>
  <w:style w:type="paragraph" w:styleId="Heading3">
    <w:name w:val="heading 3"/>
    <w:basedOn w:val="Normal"/>
    <w:next w:val="Normal"/>
    <w:link w:val="Heading3Char"/>
    <w:qFormat/>
    <w:rsid w:val="00C2208C"/>
    <w:pPr>
      <w:keepNext/>
      <w:keepLines/>
      <w:spacing w:before="60" w:after="0"/>
      <w:outlineLvl w:val="2"/>
    </w:pPr>
    <w:rPr>
      <w:rFonts w:ascii="Arial" w:eastAsia="Times New Roman" w:hAnsi="Arial" w:cs="Times New Roman"/>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2208C"/>
    <w:rPr>
      <w:rFonts w:ascii="Arial" w:eastAsia="Times New Roman" w:hAnsi="Arial" w:cs="Times New Roman"/>
      <w:b/>
      <w:bCs/>
      <w:color w:val="000000"/>
      <w:sz w:val="32"/>
      <w:szCs w:val="26"/>
    </w:rPr>
  </w:style>
  <w:style w:type="character" w:customStyle="1" w:styleId="Heading3Char">
    <w:name w:val="Heading 3 Char"/>
    <w:basedOn w:val="DefaultParagraphFont"/>
    <w:link w:val="Heading3"/>
    <w:rsid w:val="00C2208C"/>
    <w:rPr>
      <w:rFonts w:ascii="Arial" w:eastAsia="Times New Roman" w:hAnsi="Arial" w:cs="Times New Roman"/>
      <w:b/>
      <w:bCs/>
      <w:i/>
      <w:sz w:val="28"/>
      <w:szCs w:val="28"/>
    </w:rPr>
  </w:style>
  <w:style w:type="paragraph" w:styleId="ListParagraph">
    <w:name w:val="List Paragraph"/>
    <w:basedOn w:val="Normal"/>
    <w:uiPriority w:val="34"/>
    <w:unhideWhenUsed/>
    <w:qFormat/>
    <w:rsid w:val="00C2208C"/>
    <w:pPr>
      <w:spacing w:before="120" w:after="0"/>
      <w:ind w:left="720"/>
      <w:contextualSpacing/>
    </w:pPr>
    <w:rPr>
      <w:rFonts w:ascii="Arial" w:eastAsia="Calibri" w:hAnsi="Arial" w:cs="Helvetica-Light"/>
      <w:color w:val="000000"/>
      <w:sz w:val="24"/>
      <w:szCs w:val="24"/>
    </w:rPr>
  </w:style>
  <w:style w:type="paragraph" w:customStyle="1" w:styleId="TableTitle">
    <w:name w:val="Table Title"/>
    <w:basedOn w:val="Normal"/>
    <w:uiPriority w:val="1"/>
    <w:qFormat/>
    <w:rsid w:val="00C2208C"/>
    <w:pPr>
      <w:spacing w:before="60" w:after="0"/>
    </w:pPr>
    <w:rPr>
      <w:rFonts w:ascii="Arial" w:eastAsia="Calibri" w:hAnsi="Arial" w:cs="Helvetica-Light"/>
      <w:b/>
      <w:color w:val="000000"/>
      <w:sz w:val="28"/>
      <w:szCs w:val="28"/>
    </w:rPr>
  </w:style>
  <w:style w:type="paragraph" w:customStyle="1" w:styleId="Normal-indent">
    <w:name w:val="Normal - indent"/>
    <w:basedOn w:val="Normal"/>
    <w:uiPriority w:val="2"/>
    <w:qFormat/>
    <w:rsid w:val="00C2208C"/>
    <w:pPr>
      <w:spacing w:before="120" w:after="0"/>
      <w:ind w:left="360"/>
    </w:pPr>
    <w:rPr>
      <w:rFonts w:ascii="Arial" w:eastAsia="Calibri" w:hAnsi="Arial" w:cs="Helvetica-Light"/>
      <w:color w:val="000000"/>
      <w:sz w:val="24"/>
      <w:szCs w:val="24"/>
    </w:rPr>
  </w:style>
  <w:style w:type="paragraph" w:styleId="Caption">
    <w:name w:val="caption"/>
    <w:basedOn w:val="Normal"/>
    <w:next w:val="Normal"/>
    <w:uiPriority w:val="35"/>
    <w:unhideWhenUsed/>
    <w:qFormat/>
    <w:rsid w:val="00C2208C"/>
    <w:pPr>
      <w:spacing w:before="120" w:after="0"/>
    </w:pPr>
    <w:rPr>
      <w:rFonts w:ascii="Arial" w:eastAsia="Calibri" w:hAnsi="Arial" w:cs="Helvetica-Light"/>
      <w:b/>
      <w:bCs/>
      <w:color w:val="000000"/>
      <w:sz w:val="20"/>
      <w:szCs w:val="20"/>
    </w:rPr>
  </w:style>
  <w:style w:type="paragraph" w:customStyle="1" w:styleId="Default">
    <w:name w:val="Default"/>
    <w:rsid w:val="00C2208C"/>
    <w:pPr>
      <w:autoSpaceDE w:val="0"/>
      <w:autoSpaceDN w:val="0"/>
      <w:adjustRightInd w:val="0"/>
      <w:spacing w:before="120" w:after="0"/>
      <w:jc w:val="both"/>
    </w:pPr>
    <w:rPr>
      <w:rFonts w:ascii="Arial" w:eastAsia="Cambria" w:hAnsi="Arial" w:cs="Arial"/>
      <w:color w:val="000000"/>
      <w:sz w:val="24"/>
      <w:szCs w:val="24"/>
      <w:lang w:eastAsia="en-GB"/>
    </w:rPr>
  </w:style>
  <w:style w:type="character" w:styleId="Hyperlink">
    <w:name w:val="Hyperlink"/>
    <w:uiPriority w:val="99"/>
    <w:unhideWhenUsed/>
    <w:rsid w:val="007B4C3E"/>
    <w:rPr>
      <w:rFonts w:cs="Arial"/>
      <w:color w:val="0000FF"/>
      <w:u w:val="single"/>
    </w:rPr>
  </w:style>
  <w:style w:type="paragraph" w:styleId="NormalWeb">
    <w:name w:val="Normal (Web)"/>
    <w:basedOn w:val="Normal"/>
    <w:uiPriority w:val="99"/>
    <w:unhideWhenUsed/>
    <w:rsid w:val="007B4C3E"/>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E7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16</Pages>
  <Words>5480</Words>
  <Characters>31239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Blagden, Sarah</dc:creator>
  <cp:lastModifiedBy>Gorton, Sam</cp:lastModifiedBy>
  <cp:revision>9</cp:revision>
  <dcterms:created xsi:type="dcterms:W3CDTF">2017-06-20T13:50:00Z</dcterms:created>
  <dcterms:modified xsi:type="dcterms:W3CDTF">2017-11-27T14:58:00Z</dcterms:modified>
</cp:coreProperties>
</file>